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ED4F" w14:textId="5D4E9898" w:rsidR="00797010" w:rsidRDefault="00797010" w:rsidP="00797010">
      <w:pPr>
        <w:pStyle w:val="Heading1"/>
      </w:pPr>
      <w:bookmarkStart w:id="0" w:name="_Toc129624136"/>
      <w:bookmarkStart w:id="1" w:name="_Hlk129439211"/>
      <w:r w:rsidRPr="00F5453E">
        <w:rPr>
          <w:rFonts w:cs="Arial"/>
          <w:b w:val="0"/>
          <w:noProof/>
          <w:color w:val="000000" w:themeColor="text1"/>
        </w:rPr>
        <w:drawing>
          <wp:anchor distT="0" distB="0" distL="114300" distR="114300" simplePos="0" relativeHeight="251659264" behindDoc="0" locked="0" layoutInCell="1" allowOverlap="1" wp14:anchorId="669009E3" wp14:editId="1BD77166">
            <wp:simplePos x="0" y="0"/>
            <wp:positionH relativeFrom="page">
              <wp:posOffset>5057553</wp:posOffset>
            </wp:positionH>
            <wp:positionV relativeFrom="paragraph">
              <wp:posOffset>-562270</wp:posOffset>
            </wp:positionV>
            <wp:extent cx="2624191" cy="1915036"/>
            <wp:effectExtent l="190500" t="419100" r="271780" b="409575"/>
            <wp:wrapNone/>
            <wp:docPr id="2" name="Picture 2" descr="stickynoteIRM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ckynoteIRMP (2).png"/>
                    <pic:cNvPicPr>
                      <a:picLocks noChangeAspect="1" noChangeArrowheads="1"/>
                    </pic:cNvPicPr>
                  </pic:nvPicPr>
                  <pic:blipFill>
                    <a:blip r:embed="rId10" cstate="print"/>
                    <a:srcRect t="12859" b="13219"/>
                    <a:stretch>
                      <a:fillRect/>
                    </a:stretch>
                  </pic:blipFill>
                  <pic:spPr bwMode="auto">
                    <a:xfrm rot="1255942">
                      <a:off x="0" y="0"/>
                      <a:ext cx="2624191" cy="19150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6A129F">
        <w:t xml:space="preserve">Workplace Harassment and Violence </w:t>
      </w:r>
      <w:commentRangeStart w:id="2"/>
      <w:r w:rsidR="006A129F">
        <w:t>Policy</w:t>
      </w:r>
      <w:commentRangeEnd w:id="2"/>
      <w:r w:rsidR="006A129F">
        <w:rPr>
          <w:rStyle w:val="CommentReference"/>
          <w:rFonts w:ascii="Calibri" w:hAnsi="Calibri"/>
          <w:szCs w:val="20"/>
        </w:rPr>
        <w:commentReference w:id="2"/>
      </w:r>
    </w:p>
    <w:bookmarkEnd w:id="1"/>
    <w:p w14:paraId="247BFC1F" w14:textId="3E16D7A8" w:rsidR="00797010" w:rsidRPr="00A36CA2" w:rsidRDefault="00797010" w:rsidP="00797010">
      <w:pPr>
        <w:widowControl w:val="0"/>
        <w:autoSpaceDE w:val="0"/>
        <w:autoSpaceDN w:val="0"/>
        <w:adjustRightInd w:val="0"/>
        <w:spacing w:line="319" w:lineRule="exact"/>
        <w:ind w:right="4"/>
        <w:rPr>
          <w:rFonts w:ascii="Century Gothic" w:hAnsi="Century Gothic" w:cs="Arial"/>
          <w:b/>
          <w:color w:val="000000" w:themeColor="text1"/>
          <w:sz w:val="26"/>
          <w:szCs w:val="26"/>
        </w:rPr>
      </w:pPr>
      <w:r w:rsidRPr="00A36CA2">
        <w:rPr>
          <w:rFonts w:ascii="Century Gothic" w:hAnsi="Century Gothic" w:cs="Arial"/>
          <w:b/>
          <w:color w:val="000000" w:themeColor="text1"/>
          <w:sz w:val="26"/>
          <w:szCs w:val="26"/>
        </w:rPr>
        <w:t>Practice Group Name:</w:t>
      </w:r>
      <w:r w:rsidRPr="00A36CA2">
        <w:rPr>
          <w:rFonts w:cs="Arial"/>
          <w:b/>
          <w:noProof/>
          <w:color w:val="000000" w:themeColor="text1"/>
          <w:sz w:val="28"/>
          <w:szCs w:val="28"/>
        </w:rPr>
        <w:t xml:space="preserve"> </w:t>
      </w:r>
    </w:p>
    <w:p w14:paraId="4383EF01" w14:textId="77777777" w:rsidR="00797010" w:rsidRPr="000A431D" w:rsidRDefault="00797010" w:rsidP="00797010">
      <w:pPr>
        <w:widowControl w:val="0"/>
        <w:autoSpaceDE w:val="0"/>
        <w:autoSpaceDN w:val="0"/>
        <w:adjustRightInd w:val="0"/>
        <w:spacing w:line="319" w:lineRule="exact"/>
        <w:ind w:right="4"/>
        <w:rPr>
          <w:rFonts w:ascii="Century Gothic" w:hAnsi="Century Gothic" w:cs="Arial"/>
          <w:color w:val="4C4C4E"/>
          <w:sz w:val="26"/>
          <w:szCs w:val="26"/>
        </w:rPr>
      </w:pPr>
      <w:r w:rsidRPr="000A431D">
        <w:rPr>
          <w:rFonts w:ascii="Century Gothic" w:hAnsi="Century Gothic" w:cs="Arial"/>
          <w:color w:val="4C4C4E"/>
          <w:sz w:val="26"/>
          <w:szCs w:val="26"/>
          <w:highlight w:val="yellow"/>
        </w:rPr>
        <w:t>[Insert practice group logo]</w:t>
      </w:r>
    </w:p>
    <w:p w14:paraId="3A929F48" w14:textId="17BBEC8A" w:rsidR="00797010" w:rsidRDefault="00797010" w:rsidP="00797010"/>
    <w:p w14:paraId="1F6E313E" w14:textId="77777777" w:rsidR="006A129F" w:rsidRDefault="006A129F" w:rsidP="00797010"/>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2361"/>
        <w:gridCol w:w="3402"/>
        <w:gridCol w:w="2126"/>
      </w:tblGrid>
      <w:tr w:rsidR="006A129F" w:rsidRPr="008876FF" w14:paraId="5ECAC4AD" w14:textId="77777777" w:rsidTr="007B17AA">
        <w:tc>
          <w:tcPr>
            <w:tcW w:w="1858" w:type="dxa"/>
            <w:tcBorders>
              <w:right w:val="nil"/>
            </w:tcBorders>
          </w:tcPr>
          <w:p w14:paraId="1BA52790" w14:textId="77777777" w:rsidR="006A129F" w:rsidRPr="008876FF" w:rsidRDefault="006A129F" w:rsidP="007B17AA">
            <w:pPr>
              <w:spacing w:before="120" w:after="120" w:line="240" w:lineRule="auto"/>
              <w:rPr>
                <w:rFonts w:eastAsia="Times New Roman" w:cs="Calibri"/>
                <w:b/>
                <w:sz w:val="24"/>
                <w:szCs w:val="24"/>
                <w:lang w:val="en-US"/>
              </w:rPr>
            </w:pPr>
            <w:r w:rsidRPr="008876FF">
              <w:rPr>
                <w:rFonts w:eastAsia="Times New Roman" w:cs="Calibri"/>
                <w:b/>
                <w:sz w:val="24"/>
                <w:szCs w:val="24"/>
                <w:lang w:val="en-US"/>
              </w:rPr>
              <w:t>Protocol Type:</w:t>
            </w:r>
          </w:p>
        </w:tc>
        <w:tc>
          <w:tcPr>
            <w:tcW w:w="2361" w:type="dxa"/>
            <w:tcBorders>
              <w:left w:val="nil"/>
            </w:tcBorders>
          </w:tcPr>
          <w:p w14:paraId="29EB70FE" w14:textId="77777777" w:rsidR="006A129F" w:rsidRPr="008876FF" w:rsidRDefault="006A129F" w:rsidP="007B17AA">
            <w:pPr>
              <w:tabs>
                <w:tab w:val="center" w:pos="4320"/>
                <w:tab w:val="right" w:pos="8640"/>
              </w:tabs>
              <w:spacing w:before="120" w:after="120" w:line="240" w:lineRule="auto"/>
              <w:rPr>
                <w:rFonts w:eastAsia="Times New Roman" w:cs="Calibri"/>
                <w:bCs/>
                <w:sz w:val="24"/>
                <w:szCs w:val="24"/>
                <w:lang w:val="en-US"/>
              </w:rPr>
            </w:pPr>
            <w:r w:rsidRPr="008876FF">
              <w:rPr>
                <w:rFonts w:eastAsia="Times New Roman" w:cs="Calibri"/>
                <w:bCs/>
                <w:sz w:val="24"/>
                <w:szCs w:val="24"/>
                <w:lang w:val="en-US"/>
              </w:rPr>
              <w:t>Administration</w:t>
            </w:r>
          </w:p>
        </w:tc>
        <w:tc>
          <w:tcPr>
            <w:tcW w:w="3402" w:type="dxa"/>
            <w:tcBorders>
              <w:right w:val="nil"/>
            </w:tcBorders>
          </w:tcPr>
          <w:p w14:paraId="485A8429" w14:textId="77777777" w:rsidR="006A129F" w:rsidRPr="008876FF" w:rsidRDefault="006A129F" w:rsidP="007B17AA">
            <w:pPr>
              <w:spacing w:before="120" w:after="120" w:line="240" w:lineRule="auto"/>
              <w:ind w:right="-2093"/>
              <w:rPr>
                <w:rFonts w:eastAsia="Times New Roman" w:cs="Calibri"/>
                <w:b/>
                <w:sz w:val="24"/>
                <w:szCs w:val="24"/>
                <w:lang w:val="en-US"/>
              </w:rPr>
            </w:pPr>
            <w:r w:rsidRPr="008876FF">
              <w:rPr>
                <w:rFonts w:eastAsia="Times New Roman" w:cs="Calibri"/>
                <w:b/>
                <w:sz w:val="24"/>
                <w:szCs w:val="24"/>
                <w:lang w:val="en-US"/>
              </w:rPr>
              <w:t xml:space="preserve">Date Approved: </w:t>
            </w:r>
          </w:p>
        </w:tc>
        <w:tc>
          <w:tcPr>
            <w:tcW w:w="2126" w:type="dxa"/>
            <w:tcBorders>
              <w:left w:val="nil"/>
            </w:tcBorders>
          </w:tcPr>
          <w:p w14:paraId="538CE219" w14:textId="77777777" w:rsidR="006A129F" w:rsidRPr="008876FF" w:rsidRDefault="006A129F" w:rsidP="007B17AA">
            <w:pPr>
              <w:tabs>
                <w:tab w:val="left" w:pos="870"/>
                <w:tab w:val="center" w:pos="4320"/>
                <w:tab w:val="right" w:pos="8640"/>
              </w:tabs>
              <w:spacing w:before="120" w:after="120" w:line="240" w:lineRule="auto"/>
              <w:rPr>
                <w:rFonts w:eastAsia="Times New Roman" w:cs="Calibri"/>
                <w:bCs/>
                <w:sz w:val="24"/>
                <w:szCs w:val="24"/>
                <w:lang w:val="en-US"/>
              </w:rPr>
            </w:pPr>
            <w:r w:rsidRPr="008876FF">
              <w:rPr>
                <w:rFonts w:eastAsia="Times New Roman" w:cs="Calibri"/>
                <w:bCs/>
                <w:sz w:val="24"/>
                <w:szCs w:val="24"/>
                <w:highlight w:val="yellow"/>
                <w:lang w:val="en-US"/>
              </w:rPr>
              <w:t>DATE</w:t>
            </w:r>
          </w:p>
        </w:tc>
      </w:tr>
      <w:tr w:rsidR="006A129F" w:rsidRPr="008876FF" w14:paraId="097CDA52" w14:textId="77777777" w:rsidTr="007B17AA">
        <w:tc>
          <w:tcPr>
            <w:tcW w:w="1858" w:type="dxa"/>
            <w:tcBorders>
              <w:right w:val="nil"/>
            </w:tcBorders>
          </w:tcPr>
          <w:p w14:paraId="23E81AC2" w14:textId="77777777" w:rsidR="006A129F" w:rsidRPr="008876FF" w:rsidRDefault="006A129F" w:rsidP="007B17AA">
            <w:pPr>
              <w:spacing w:before="120" w:after="120" w:line="240" w:lineRule="auto"/>
              <w:rPr>
                <w:rFonts w:eastAsia="Times New Roman" w:cs="Calibri"/>
                <w:b/>
                <w:sz w:val="24"/>
                <w:szCs w:val="24"/>
                <w:lang w:val="en-US"/>
              </w:rPr>
            </w:pPr>
            <w:r w:rsidRPr="008876FF">
              <w:rPr>
                <w:rFonts w:eastAsia="Times New Roman" w:cs="Calibri"/>
                <w:b/>
                <w:sz w:val="24"/>
                <w:szCs w:val="24"/>
                <w:lang w:val="en-US"/>
              </w:rPr>
              <w:t>Sub-Category:</w:t>
            </w:r>
          </w:p>
        </w:tc>
        <w:tc>
          <w:tcPr>
            <w:tcW w:w="2361" w:type="dxa"/>
            <w:tcBorders>
              <w:left w:val="nil"/>
            </w:tcBorders>
          </w:tcPr>
          <w:p w14:paraId="1A574C43" w14:textId="77777777" w:rsidR="006A129F" w:rsidRPr="008876FF" w:rsidRDefault="006A129F" w:rsidP="007B17AA">
            <w:pPr>
              <w:tabs>
                <w:tab w:val="center" w:pos="4320"/>
                <w:tab w:val="right" w:pos="8640"/>
              </w:tabs>
              <w:spacing w:before="120" w:after="120" w:line="240" w:lineRule="auto"/>
              <w:rPr>
                <w:rFonts w:eastAsia="Times New Roman" w:cs="Calibri"/>
                <w:bCs/>
                <w:sz w:val="24"/>
                <w:szCs w:val="24"/>
                <w:lang w:val="en-US"/>
              </w:rPr>
            </w:pPr>
            <w:r w:rsidRPr="008876FF">
              <w:rPr>
                <w:rFonts w:eastAsia="Times New Roman" w:cs="Calibri"/>
                <w:bCs/>
                <w:sz w:val="24"/>
                <w:szCs w:val="24"/>
                <w:lang w:val="en-US"/>
              </w:rPr>
              <w:t>Safety</w:t>
            </w:r>
          </w:p>
        </w:tc>
        <w:tc>
          <w:tcPr>
            <w:tcW w:w="3402" w:type="dxa"/>
            <w:tcBorders>
              <w:right w:val="nil"/>
            </w:tcBorders>
          </w:tcPr>
          <w:p w14:paraId="22155A44" w14:textId="77777777" w:rsidR="006A129F" w:rsidRPr="008876FF" w:rsidRDefault="006A129F" w:rsidP="007B17AA">
            <w:pPr>
              <w:spacing w:before="120" w:after="120" w:line="240" w:lineRule="auto"/>
              <w:rPr>
                <w:rFonts w:eastAsia="Times New Roman" w:cs="Calibri"/>
                <w:b/>
                <w:sz w:val="24"/>
                <w:szCs w:val="24"/>
                <w:lang w:val="en-US"/>
              </w:rPr>
            </w:pPr>
            <w:r w:rsidRPr="008876FF">
              <w:rPr>
                <w:rFonts w:eastAsia="Times New Roman" w:cs="Calibri"/>
                <w:b/>
                <w:sz w:val="24"/>
                <w:szCs w:val="24"/>
                <w:lang w:val="en-US"/>
              </w:rPr>
              <w:t>Date of Most Recent Revision:</w:t>
            </w:r>
          </w:p>
        </w:tc>
        <w:tc>
          <w:tcPr>
            <w:tcW w:w="2126" w:type="dxa"/>
            <w:tcBorders>
              <w:left w:val="nil"/>
            </w:tcBorders>
          </w:tcPr>
          <w:p w14:paraId="2834B7D3" w14:textId="77777777" w:rsidR="006A129F" w:rsidRPr="008876FF" w:rsidRDefault="006A129F" w:rsidP="007B17AA">
            <w:pPr>
              <w:tabs>
                <w:tab w:val="center" w:pos="4320"/>
                <w:tab w:val="right" w:pos="8640"/>
              </w:tabs>
              <w:spacing w:before="120" w:after="120" w:line="240" w:lineRule="auto"/>
              <w:rPr>
                <w:rFonts w:eastAsia="Times New Roman" w:cs="Calibri"/>
                <w:bCs/>
                <w:sz w:val="24"/>
                <w:szCs w:val="24"/>
                <w:lang w:val="en-US"/>
              </w:rPr>
            </w:pPr>
            <w:r w:rsidRPr="008876FF">
              <w:rPr>
                <w:rFonts w:eastAsia="Times New Roman" w:cs="Calibri"/>
                <w:bCs/>
                <w:sz w:val="24"/>
                <w:szCs w:val="24"/>
                <w:highlight w:val="yellow"/>
                <w:lang w:val="en-US"/>
              </w:rPr>
              <w:t>DATE</w:t>
            </w:r>
          </w:p>
        </w:tc>
      </w:tr>
      <w:tr w:rsidR="006A129F" w:rsidRPr="008876FF" w14:paraId="60461816" w14:textId="77777777" w:rsidTr="007B17AA">
        <w:tc>
          <w:tcPr>
            <w:tcW w:w="1858" w:type="dxa"/>
            <w:tcBorders>
              <w:right w:val="nil"/>
            </w:tcBorders>
          </w:tcPr>
          <w:p w14:paraId="15D025E7" w14:textId="77777777" w:rsidR="006A129F" w:rsidRPr="008876FF" w:rsidRDefault="006A129F" w:rsidP="007B17AA">
            <w:pPr>
              <w:spacing w:before="120" w:after="120" w:line="240" w:lineRule="auto"/>
              <w:rPr>
                <w:rFonts w:eastAsia="Times New Roman" w:cs="Calibri"/>
                <w:b/>
                <w:sz w:val="24"/>
                <w:szCs w:val="24"/>
                <w:lang w:val="en-US"/>
              </w:rPr>
            </w:pPr>
          </w:p>
        </w:tc>
        <w:tc>
          <w:tcPr>
            <w:tcW w:w="2361" w:type="dxa"/>
            <w:tcBorders>
              <w:left w:val="nil"/>
            </w:tcBorders>
          </w:tcPr>
          <w:p w14:paraId="6D4AC58A" w14:textId="77777777" w:rsidR="006A129F" w:rsidRPr="008876FF" w:rsidRDefault="006A129F" w:rsidP="007B17AA">
            <w:pPr>
              <w:tabs>
                <w:tab w:val="center" w:pos="4320"/>
                <w:tab w:val="right" w:pos="8640"/>
              </w:tabs>
              <w:spacing w:before="120" w:after="120" w:line="240" w:lineRule="auto"/>
              <w:rPr>
                <w:rFonts w:eastAsia="Times New Roman" w:cs="Calibri"/>
                <w:bCs/>
                <w:sz w:val="24"/>
                <w:szCs w:val="24"/>
                <w:lang w:val="en-US"/>
              </w:rPr>
            </w:pPr>
          </w:p>
        </w:tc>
        <w:tc>
          <w:tcPr>
            <w:tcW w:w="3402" w:type="dxa"/>
            <w:tcBorders>
              <w:right w:val="nil"/>
            </w:tcBorders>
          </w:tcPr>
          <w:p w14:paraId="688928EE" w14:textId="77777777" w:rsidR="006A129F" w:rsidRPr="008876FF" w:rsidRDefault="006A129F" w:rsidP="007B17AA">
            <w:pPr>
              <w:spacing w:before="120" w:after="120" w:line="240" w:lineRule="auto"/>
              <w:rPr>
                <w:rFonts w:eastAsia="Times New Roman" w:cs="Calibri"/>
                <w:b/>
                <w:sz w:val="24"/>
                <w:szCs w:val="24"/>
                <w:lang w:val="en-US"/>
              </w:rPr>
            </w:pPr>
            <w:r w:rsidRPr="008876FF">
              <w:rPr>
                <w:rFonts w:eastAsia="Times New Roman" w:cs="Calibri"/>
                <w:b/>
                <w:sz w:val="24"/>
                <w:szCs w:val="24"/>
                <w:lang w:val="en-US"/>
              </w:rPr>
              <w:t>Next Review Date:</w:t>
            </w:r>
          </w:p>
        </w:tc>
        <w:tc>
          <w:tcPr>
            <w:tcW w:w="2126" w:type="dxa"/>
            <w:tcBorders>
              <w:left w:val="nil"/>
            </w:tcBorders>
          </w:tcPr>
          <w:p w14:paraId="70F41E94" w14:textId="77777777" w:rsidR="006A129F" w:rsidRPr="008876FF" w:rsidRDefault="006A129F" w:rsidP="007B17AA">
            <w:pPr>
              <w:tabs>
                <w:tab w:val="center" w:pos="4320"/>
                <w:tab w:val="right" w:pos="8640"/>
              </w:tabs>
              <w:spacing w:before="120" w:after="120" w:line="240" w:lineRule="auto"/>
              <w:rPr>
                <w:rFonts w:eastAsia="Times New Roman" w:cs="Calibri"/>
                <w:bCs/>
                <w:sz w:val="24"/>
                <w:szCs w:val="24"/>
                <w:lang w:val="en-US"/>
              </w:rPr>
            </w:pPr>
            <w:r w:rsidRPr="008876FF">
              <w:rPr>
                <w:rFonts w:eastAsia="Times New Roman" w:cs="Calibri"/>
                <w:bCs/>
                <w:sz w:val="24"/>
                <w:szCs w:val="24"/>
                <w:highlight w:val="yellow"/>
                <w:lang w:val="en-US"/>
              </w:rPr>
              <w:t>DATE</w:t>
            </w:r>
          </w:p>
        </w:tc>
      </w:tr>
    </w:tbl>
    <w:p w14:paraId="307F3872" w14:textId="77777777" w:rsidR="006A129F" w:rsidRDefault="006A129F" w:rsidP="00797010"/>
    <w:p w14:paraId="000DF319" w14:textId="77777777" w:rsidR="006A129F" w:rsidRDefault="006A129F" w:rsidP="006A129F">
      <w:pPr>
        <w:jc w:val="both"/>
      </w:pPr>
      <w:r w:rsidRPr="006D1A52">
        <w:t>[</w:t>
      </w:r>
      <w:r w:rsidRPr="00D80C61">
        <w:rPr>
          <w:highlight w:val="yellow"/>
        </w:rPr>
        <w:t>PRACTICE NAME</w:t>
      </w:r>
      <w:r w:rsidRPr="006D1A52">
        <w:t>]</w:t>
      </w:r>
      <w:r>
        <w:t xml:space="preserve"> </w:t>
      </w:r>
      <w:r w:rsidRPr="006D1A52">
        <w:t>is committed to</w:t>
      </w:r>
      <w:r>
        <w:t xml:space="preserve"> developing and maintaining</w:t>
      </w:r>
      <w:r w:rsidRPr="006D1A52">
        <w:t xml:space="preserve"> an environment that is equitable, safe, respectful and inclusive of all people. Under the </w:t>
      </w:r>
      <w:r w:rsidRPr="006D1A52">
        <w:rPr>
          <w:i/>
          <w:iCs/>
        </w:rPr>
        <w:t>Ontario</w:t>
      </w:r>
      <w:r w:rsidRPr="006D1A52">
        <w:t xml:space="preserve"> </w:t>
      </w:r>
      <w:r w:rsidRPr="006D1A52">
        <w:rPr>
          <w:i/>
          <w:iCs/>
        </w:rPr>
        <w:t xml:space="preserve">Human Rights Code (“Code”) </w:t>
      </w:r>
      <w:r w:rsidRPr="006D1A52">
        <w:t xml:space="preserve">every person has the right to freedom from </w:t>
      </w:r>
      <w:r>
        <w:t xml:space="preserve">discrimination, </w:t>
      </w:r>
      <w:r w:rsidRPr="006D1A52">
        <w:t>harassment,</w:t>
      </w:r>
      <w:r>
        <w:t xml:space="preserve"> and poisoned work environment.</w:t>
      </w:r>
      <w:r>
        <w:rPr>
          <w:rStyle w:val="FootnoteReference"/>
        </w:rPr>
        <w:footnoteReference w:id="1"/>
      </w:r>
      <w:r>
        <w:rPr>
          <w:vertAlign w:val="superscript"/>
        </w:rPr>
        <w:t>,</w:t>
      </w:r>
      <w:r>
        <w:rPr>
          <w:rStyle w:val="FootnoteReference"/>
        </w:rPr>
        <w:footnoteReference w:id="2"/>
      </w:r>
      <w:r w:rsidRPr="00423A9C" w:rsidDel="00423A9C">
        <w:rPr>
          <w:vertAlign w:val="superscript"/>
        </w:rPr>
        <w:t xml:space="preserve"> </w:t>
      </w:r>
      <w:r w:rsidRPr="006D1A52">
        <w:t xml:space="preserve">Additionally, under the Occupational Health and Safety Act (OHSA), </w:t>
      </w:r>
      <w:r>
        <w:t>employers</w:t>
      </w:r>
      <w:r w:rsidRPr="006D1A52">
        <w:t xml:space="preserve"> have a duty to create</w:t>
      </w:r>
      <w:r>
        <w:t xml:space="preserve"> and review</w:t>
      </w:r>
      <w:r w:rsidRPr="006D1A52">
        <w:t xml:space="preserve"> policies </w:t>
      </w:r>
      <w:r>
        <w:t xml:space="preserve">regarding harassment and violence. An employer must develop and maintain a program to implement this policy in order to </w:t>
      </w:r>
      <w:r w:rsidRPr="006D1A52">
        <w:t xml:space="preserve">make </w:t>
      </w:r>
      <w:r>
        <w:t xml:space="preserve">the necessary </w:t>
      </w:r>
      <w:r w:rsidRPr="006D1A52">
        <w:t xml:space="preserve">assessments </w:t>
      </w:r>
      <w:r>
        <w:t>and to protect Workers from</w:t>
      </w:r>
      <w:r w:rsidRPr="006D1A52">
        <w:t xml:space="preserve"> harassment and violence</w:t>
      </w:r>
      <w:r>
        <w:t>.</w:t>
      </w:r>
      <w:r>
        <w:rPr>
          <w:rStyle w:val="FootnoteReference"/>
        </w:rPr>
        <w:footnoteReference w:id="3"/>
      </w:r>
      <w:r>
        <w:rPr>
          <w:i/>
          <w:iCs/>
          <w:vertAlign w:val="superscript"/>
        </w:rPr>
        <w:t>,</w:t>
      </w:r>
      <w:r>
        <w:rPr>
          <w:rStyle w:val="FootnoteReference"/>
          <w:i/>
          <w:iCs/>
        </w:rPr>
        <w:footnoteReference w:id="4"/>
      </w:r>
      <w:r w:rsidRPr="006D1A52">
        <w:rPr>
          <w:i/>
          <w:iCs/>
        </w:rPr>
        <w:t xml:space="preserve"> </w:t>
      </w:r>
      <w:r w:rsidRPr="006D1A52">
        <w:t xml:space="preserve"> </w:t>
      </w:r>
      <w:r>
        <w:t xml:space="preserve">At </w:t>
      </w:r>
      <w:r w:rsidRPr="006D1A52">
        <w:t>[</w:t>
      </w:r>
      <w:r w:rsidRPr="00D80C61">
        <w:rPr>
          <w:highlight w:val="yellow"/>
        </w:rPr>
        <w:t>PRACTICE NAME</w:t>
      </w:r>
      <w:r>
        <w:t xml:space="preserve">] </w:t>
      </w:r>
      <w:hyperlink r:id="rId14" w:history="1">
        <w:r w:rsidRPr="006D1A52">
          <w:rPr>
            <w:rStyle w:val="Hyperlink"/>
          </w:rPr>
          <w:t>Harassment and violence,</w:t>
        </w:r>
      </w:hyperlink>
      <w:r w:rsidRPr="006D1A52">
        <w:t xml:space="preserve"> in all of its forms, including racial, sexual and other harassment based on </w:t>
      </w:r>
      <w:r>
        <w:t>P</w:t>
      </w:r>
      <w:r w:rsidRPr="006D1A52">
        <w:t xml:space="preserve">rotected </w:t>
      </w:r>
      <w:r>
        <w:t>G</w:t>
      </w:r>
      <w:r w:rsidRPr="006D1A52">
        <w:t xml:space="preserve">rounds, will not be tolerated, </w:t>
      </w:r>
      <w:r>
        <w:t xml:space="preserve">any reports will be investigated and concluded with appropriate consequences based on the investigation. The practice Partners have a responsibility to provide a </w:t>
      </w:r>
      <w:hyperlink r:id="rId15" w:history="1">
        <w:r w:rsidRPr="001905D9">
          <w:rPr>
            <w:rStyle w:val="Hyperlink"/>
          </w:rPr>
          <w:t>racially just</w:t>
        </w:r>
      </w:hyperlink>
      <w:r>
        <w:t xml:space="preserve">, </w:t>
      </w:r>
      <w:hyperlink r:id="rId16" w:history="1">
        <w:r w:rsidRPr="001905D9">
          <w:rPr>
            <w:rStyle w:val="Hyperlink"/>
          </w:rPr>
          <w:t>equitable and inclusive</w:t>
        </w:r>
      </w:hyperlink>
      <w:r>
        <w:t xml:space="preserve"> Workplace free of Workplace discrimination, harassment and violence. All Workers are expected to uphold this policy.</w:t>
      </w:r>
    </w:p>
    <w:p w14:paraId="3233B80F" w14:textId="77777777" w:rsidR="006A129F" w:rsidRDefault="006A129F" w:rsidP="006A129F">
      <w:pPr>
        <w:jc w:val="both"/>
      </w:pPr>
    </w:p>
    <w:p w14:paraId="0528F736" w14:textId="77777777" w:rsidR="006A129F" w:rsidRPr="00D80C61" w:rsidRDefault="006A129F" w:rsidP="006A129F">
      <w:pPr>
        <w:pStyle w:val="Heading2"/>
        <w:jc w:val="both"/>
        <w:rPr>
          <w:rFonts w:ascii="Century Gothic" w:hAnsi="Century Gothic"/>
        </w:rPr>
      </w:pPr>
      <w:bookmarkStart w:id="3" w:name="_Toc129624137"/>
      <w:bookmarkStart w:id="4" w:name="_Hlk128030155"/>
      <w:r w:rsidRPr="00D80C61">
        <w:rPr>
          <w:rFonts w:ascii="Century Gothic" w:hAnsi="Century Gothic"/>
        </w:rPr>
        <w:t>Definitions</w:t>
      </w:r>
      <w:bookmarkEnd w:id="3"/>
      <w:r w:rsidRPr="00D80C61">
        <w:rPr>
          <w:rFonts w:ascii="Century Gothic" w:hAnsi="Century Gothic"/>
        </w:rPr>
        <w:t xml:space="preserve"> </w:t>
      </w:r>
    </w:p>
    <w:p w14:paraId="0FA098FA" w14:textId="77777777" w:rsidR="006A129F" w:rsidRPr="00D80C61" w:rsidRDefault="006A129F" w:rsidP="006A129F">
      <w:pPr>
        <w:jc w:val="both"/>
        <w:rPr>
          <w:i/>
          <w:iCs/>
        </w:rPr>
      </w:pPr>
      <w:r w:rsidRPr="0047146B">
        <w:rPr>
          <w:i/>
          <w:iCs/>
        </w:rPr>
        <w:t xml:space="preserve">The following definitions are applicable to this policy and </w:t>
      </w:r>
      <w:r>
        <w:rPr>
          <w:i/>
          <w:iCs/>
        </w:rPr>
        <w:t>the accompanying Workplace Harassment Procedure</w:t>
      </w:r>
      <w:r w:rsidRPr="0047146B">
        <w:rPr>
          <w:i/>
          <w:iCs/>
        </w:rPr>
        <w:t>.</w:t>
      </w:r>
    </w:p>
    <w:p w14:paraId="1F1977CE" w14:textId="77777777" w:rsidR="006A129F" w:rsidRDefault="006A129F" w:rsidP="006A129F">
      <w:pPr>
        <w:jc w:val="both"/>
        <w:rPr>
          <w:b/>
          <w:bCs/>
        </w:rPr>
      </w:pPr>
      <w:r>
        <w:rPr>
          <w:b/>
          <w:bCs/>
          <w:iCs/>
        </w:rPr>
        <w:t>“</w:t>
      </w:r>
      <w:r w:rsidRPr="00D80C61">
        <w:rPr>
          <w:b/>
          <w:bCs/>
          <w:i/>
        </w:rPr>
        <w:t>Complainant</w:t>
      </w:r>
      <w:r>
        <w:rPr>
          <w:b/>
          <w:bCs/>
          <w:iCs/>
        </w:rPr>
        <w:t>”</w:t>
      </w:r>
      <w:r w:rsidRPr="00F45556">
        <w:rPr>
          <w:b/>
          <w:bCs/>
        </w:rPr>
        <w:t xml:space="preserve"> </w:t>
      </w:r>
      <w:r w:rsidRPr="00D95A19">
        <w:t>means the person(s) submitting a complaint of harassment.</w:t>
      </w:r>
      <w:r w:rsidRPr="00F45556">
        <w:rPr>
          <w:b/>
          <w:bCs/>
        </w:rPr>
        <w:t xml:space="preserve"> </w:t>
      </w:r>
    </w:p>
    <w:p w14:paraId="2F15CA2B" w14:textId="77777777" w:rsidR="006A129F" w:rsidRPr="00832316" w:rsidRDefault="006A129F" w:rsidP="006A129F">
      <w:pPr>
        <w:jc w:val="both"/>
      </w:pPr>
      <w:r>
        <w:rPr>
          <w:b/>
          <w:bCs/>
        </w:rPr>
        <w:t>“</w:t>
      </w:r>
      <w:r w:rsidRPr="00832316">
        <w:rPr>
          <w:b/>
          <w:bCs/>
          <w:i/>
          <w:iCs/>
        </w:rPr>
        <w:t>Discrimination</w:t>
      </w:r>
      <w:r>
        <w:rPr>
          <w:b/>
          <w:bCs/>
        </w:rPr>
        <w:t>”</w:t>
      </w:r>
      <w:r w:rsidRPr="00B945C1">
        <w:t xml:space="preserve"> involves the unequal treatment of individuals based on race, gender, social class, sexual orientation, physical ability, religion or other </w:t>
      </w:r>
      <w:r>
        <w:t>P</w:t>
      </w:r>
      <w:r w:rsidRPr="00B945C1">
        <w:t xml:space="preserve">rotected </w:t>
      </w:r>
      <w:r>
        <w:t>G</w:t>
      </w:r>
      <w:r w:rsidRPr="00B945C1">
        <w:t>rounds.</w:t>
      </w:r>
    </w:p>
    <w:p w14:paraId="71F98D2A" w14:textId="77777777" w:rsidR="006A129F" w:rsidRDefault="006A129F" w:rsidP="006A129F">
      <w:pPr>
        <w:jc w:val="both"/>
        <w:rPr>
          <w:b/>
          <w:bCs/>
        </w:rPr>
      </w:pPr>
      <w:r w:rsidRPr="00832316">
        <w:rPr>
          <w:b/>
          <w:bCs/>
          <w:i/>
          <w:iCs/>
        </w:rPr>
        <w:lastRenderedPageBreak/>
        <w:t>“Discrimination-based harassment</w:t>
      </w:r>
      <w:r>
        <w:rPr>
          <w:b/>
          <w:bCs/>
        </w:rPr>
        <w:t>”</w:t>
      </w:r>
      <w:r w:rsidRPr="005D54D3">
        <w:rPr>
          <w:b/>
          <w:bCs/>
        </w:rPr>
        <w:t xml:space="preserve"> </w:t>
      </w:r>
      <w:r w:rsidRPr="005A3E81">
        <w:t xml:space="preserve">means harassment by employers, agents of employers, other </w:t>
      </w:r>
      <w:r>
        <w:t xml:space="preserve">Workers and clients </w:t>
      </w:r>
      <w:r w:rsidRPr="00D95A19">
        <w:t xml:space="preserve">based on the </w:t>
      </w:r>
      <w:r>
        <w:t>Protected</w:t>
      </w:r>
      <w:r w:rsidRPr="00D95A19">
        <w:t xml:space="preserve"> </w:t>
      </w:r>
      <w:r>
        <w:t>G</w:t>
      </w:r>
      <w:r w:rsidRPr="00D95A19">
        <w:t>rounds.</w:t>
      </w:r>
    </w:p>
    <w:p w14:paraId="0DA97148" w14:textId="77777777" w:rsidR="006A129F" w:rsidRDefault="006A129F" w:rsidP="006A129F">
      <w:pPr>
        <w:jc w:val="both"/>
        <w:rPr>
          <w:lang w:eastAsia="en-CA"/>
        </w:rPr>
      </w:pPr>
      <w:r>
        <w:rPr>
          <w:b/>
          <w:bCs/>
          <w:i/>
          <w:iCs/>
          <w:lang w:eastAsia="en-CA"/>
        </w:rPr>
        <w:t>“E</w:t>
      </w:r>
      <w:r w:rsidRPr="00D7424A">
        <w:rPr>
          <w:b/>
          <w:bCs/>
          <w:i/>
          <w:iCs/>
          <w:lang w:eastAsia="en-CA"/>
        </w:rPr>
        <w:t>mployer</w:t>
      </w:r>
      <w:r w:rsidRPr="0DE7B32E">
        <w:rPr>
          <w:lang w:eastAsia="en-CA"/>
        </w:rPr>
        <w:t xml:space="preserve">” means a person who employs one or more </w:t>
      </w:r>
      <w:r>
        <w:rPr>
          <w:lang w:eastAsia="en-CA"/>
        </w:rPr>
        <w:t>W</w:t>
      </w:r>
      <w:r w:rsidRPr="0DE7B32E">
        <w:rPr>
          <w:lang w:eastAsia="en-CA"/>
        </w:rPr>
        <w:t>orkers or contracts for the services of one or more Workers</w:t>
      </w:r>
      <w:r>
        <w:rPr>
          <w:lang w:eastAsia="en-CA"/>
        </w:rPr>
        <w:t>.</w:t>
      </w:r>
    </w:p>
    <w:p w14:paraId="386B95B9" w14:textId="77777777" w:rsidR="006A129F" w:rsidRPr="00832316" w:rsidRDefault="006A129F" w:rsidP="006A129F">
      <w:pPr>
        <w:jc w:val="both"/>
        <w:rPr>
          <w:b/>
          <w:bCs/>
          <w:lang w:eastAsia="en-CA"/>
        </w:rPr>
      </w:pPr>
      <w:r w:rsidRPr="00832316">
        <w:rPr>
          <w:b/>
          <w:bCs/>
          <w:lang w:eastAsia="en-CA"/>
        </w:rPr>
        <w:t>“Health and Safety Partner”</w:t>
      </w:r>
      <w:r>
        <w:rPr>
          <w:b/>
          <w:bCs/>
          <w:lang w:eastAsia="en-CA"/>
        </w:rPr>
        <w:t xml:space="preserve"> </w:t>
      </w:r>
      <w:r w:rsidRPr="00832316">
        <w:rPr>
          <w:lang w:eastAsia="en-CA"/>
        </w:rPr>
        <w:t>is the</w:t>
      </w:r>
      <w:r>
        <w:rPr>
          <w:lang w:eastAsia="en-CA"/>
        </w:rPr>
        <w:t xml:space="preserve"> senior Partner designated to attend to health and safety matters.</w:t>
      </w:r>
    </w:p>
    <w:p w14:paraId="125BA763" w14:textId="77777777" w:rsidR="006A129F" w:rsidRDefault="006A129F" w:rsidP="006A129F">
      <w:pPr>
        <w:jc w:val="both"/>
        <w:rPr>
          <w:lang w:eastAsia="en-CA"/>
        </w:rPr>
      </w:pPr>
      <w:r w:rsidRPr="003D5B87">
        <w:rPr>
          <w:b/>
          <w:i/>
          <w:lang w:eastAsia="en-CA"/>
        </w:rPr>
        <w:t>“Health and Safety</w:t>
      </w:r>
      <w:r>
        <w:rPr>
          <w:b/>
          <w:i/>
          <w:lang w:eastAsia="en-CA"/>
        </w:rPr>
        <w:t xml:space="preserve"> </w:t>
      </w:r>
      <w:r w:rsidRPr="003D5B87">
        <w:rPr>
          <w:b/>
          <w:i/>
          <w:lang w:eastAsia="en-CA"/>
        </w:rPr>
        <w:t>Representative</w:t>
      </w:r>
      <w:r>
        <w:rPr>
          <w:b/>
          <w:i/>
          <w:lang w:eastAsia="en-CA"/>
        </w:rPr>
        <w:t xml:space="preserve"> [or Joint Health and Safety Committee Member]</w:t>
      </w:r>
      <w:r w:rsidRPr="003D5B87">
        <w:rPr>
          <w:b/>
          <w:i/>
          <w:lang w:eastAsia="en-CA"/>
        </w:rPr>
        <w:t xml:space="preserve">” </w:t>
      </w:r>
      <w:r w:rsidRPr="003D5B87">
        <w:rPr>
          <w:bCs/>
          <w:iCs/>
          <w:lang w:eastAsia="en-CA"/>
        </w:rPr>
        <w:t>refers to the designated individual</w:t>
      </w:r>
      <w:r>
        <w:rPr>
          <w:bCs/>
          <w:iCs/>
          <w:lang w:eastAsia="en-CA"/>
        </w:rPr>
        <w:t>(s),</w:t>
      </w:r>
      <w:r w:rsidRPr="003D5B87">
        <w:rPr>
          <w:bCs/>
          <w:iCs/>
          <w:lang w:eastAsia="en-CA"/>
        </w:rPr>
        <w:t xml:space="preserve"> in the </w:t>
      </w:r>
      <w:r>
        <w:rPr>
          <w:bCs/>
          <w:iCs/>
          <w:lang w:eastAsia="en-CA"/>
        </w:rPr>
        <w:t>W</w:t>
      </w:r>
      <w:r w:rsidRPr="003D5B87">
        <w:rPr>
          <w:bCs/>
          <w:iCs/>
          <w:lang w:eastAsia="en-CA"/>
        </w:rPr>
        <w:t>orkplace, that holds this role. It is mandated by Occupational Health and Safety Act (OHSA) that employers with 6 or more staff have a Health and Safety Representative and employers with 20 or more staff have a</w:t>
      </w:r>
      <w:r>
        <w:rPr>
          <w:bCs/>
          <w:iCs/>
          <w:lang w:eastAsia="en-CA"/>
        </w:rPr>
        <w:t xml:space="preserve"> Joint </w:t>
      </w:r>
      <w:r w:rsidRPr="003D5B87">
        <w:rPr>
          <w:bCs/>
          <w:iCs/>
          <w:lang w:eastAsia="en-CA"/>
        </w:rPr>
        <w:t>Health and Safety Committee</w:t>
      </w:r>
      <w:r>
        <w:rPr>
          <w:bCs/>
          <w:iCs/>
          <w:lang w:eastAsia="en-CA"/>
        </w:rPr>
        <w:t>.</w:t>
      </w:r>
      <w:r>
        <w:rPr>
          <w:rStyle w:val="FootnoteReference"/>
          <w:bCs/>
          <w:iCs/>
          <w:lang w:eastAsia="en-CA"/>
        </w:rPr>
        <w:footnoteReference w:id="5"/>
      </w:r>
      <w:r>
        <w:rPr>
          <w:bCs/>
          <w:iCs/>
          <w:vertAlign w:val="superscript"/>
          <w:lang w:eastAsia="en-CA"/>
        </w:rPr>
        <w:t xml:space="preserve"> </w:t>
      </w:r>
    </w:p>
    <w:p w14:paraId="613137E3" w14:textId="77777777" w:rsidR="006A129F" w:rsidRPr="00832316" w:rsidRDefault="006A129F" w:rsidP="006A129F">
      <w:pPr>
        <w:jc w:val="both"/>
        <w:rPr>
          <w:lang w:eastAsia="en-CA"/>
        </w:rPr>
      </w:pPr>
      <w:r w:rsidRPr="00D7424A">
        <w:rPr>
          <w:rFonts w:cs="Arial"/>
          <w:b/>
          <w:i/>
          <w:spacing w:val="-4"/>
        </w:rPr>
        <w:t>“</w:t>
      </w:r>
      <w:r>
        <w:rPr>
          <w:rFonts w:cs="Arial"/>
          <w:b/>
          <w:i/>
          <w:spacing w:val="-4"/>
        </w:rPr>
        <w:t>I</w:t>
      </w:r>
      <w:r w:rsidRPr="00D7424A">
        <w:rPr>
          <w:rFonts w:cs="Arial"/>
          <w:b/>
          <w:i/>
          <w:spacing w:val="-4"/>
        </w:rPr>
        <w:t>nvestigator”</w:t>
      </w:r>
      <w:r w:rsidRPr="00D7424A">
        <w:rPr>
          <w:rFonts w:cs="Arial"/>
          <w:bCs/>
          <w:iCs/>
          <w:spacing w:val="-4"/>
        </w:rPr>
        <w:t xml:space="preserve"> means a person or group who will conduct a formal enquiry of the complaint. This may be an external party or an internal official who is normally responsible for undertaking investigations in the </w:t>
      </w:r>
      <w:r>
        <w:rPr>
          <w:rFonts w:cs="Arial"/>
          <w:bCs/>
          <w:iCs/>
          <w:spacing w:val="-4"/>
        </w:rPr>
        <w:t>W</w:t>
      </w:r>
      <w:r w:rsidRPr="00D7424A">
        <w:rPr>
          <w:rFonts w:cs="Arial"/>
          <w:bCs/>
          <w:iCs/>
          <w:spacing w:val="-4"/>
        </w:rPr>
        <w:t>orkplace.</w:t>
      </w:r>
    </w:p>
    <w:p w14:paraId="3839DEC6" w14:textId="77777777" w:rsidR="006A129F" w:rsidRDefault="006A129F" w:rsidP="006A129F">
      <w:pPr>
        <w:tabs>
          <w:tab w:val="left" w:pos="0"/>
        </w:tabs>
        <w:suppressAutoHyphens/>
        <w:spacing w:line="280" w:lineRule="atLeast"/>
        <w:jc w:val="both"/>
        <w:rPr>
          <w:rFonts w:cs="Arial"/>
          <w:spacing w:val="-4"/>
        </w:rPr>
      </w:pPr>
      <w:r w:rsidRPr="00D7424A">
        <w:rPr>
          <w:rFonts w:cs="Arial"/>
          <w:b/>
          <w:i/>
          <w:spacing w:val="-4"/>
        </w:rPr>
        <w:t>“</w:t>
      </w:r>
      <w:r>
        <w:rPr>
          <w:rFonts w:cs="Arial"/>
          <w:b/>
          <w:i/>
          <w:spacing w:val="-4"/>
        </w:rPr>
        <w:t>P</w:t>
      </w:r>
      <w:r w:rsidRPr="00D7424A">
        <w:rPr>
          <w:rFonts w:cs="Arial"/>
          <w:b/>
          <w:i/>
          <w:spacing w:val="-4"/>
        </w:rPr>
        <w:t>arties”</w:t>
      </w:r>
      <w:r w:rsidRPr="00D7424A">
        <w:rPr>
          <w:rFonts w:cs="Arial"/>
          <w:spacing w:val="-4"/>
        </w:rPr>
        <w:t xml:space="preserve"> means the complainant, respondent, and witnesses (as determined by the investigator) related to the allegations/incidents/complaints</w:t>
      </w:r>
      <w:r>
        <w:rPr>
          <w:rFonts w:cs="Arial"/>
          <w:spacing w:val="-4"/>
        </w:rPr>
        <w:t>.</w:t>
      </w:r>
    </w:p>
    <w:p w14:paraId="1F242D92" w14:textId="77777777" w:rsidR="006A129F" w:rsidRPr="00423A9C" w:rsidRDefault="006A129F" w:rsidP="006A129F">
      <w:pPr>
        <w:tabs>
          <w:tab w:val="left" w:pos="0"/>
        </w:tabs>
        <w:suppressAutoHyphens/>
        <w:spacing w:after="0" w:line="280" w:lineRule="atLeast"/>
        <w:jc w:val="both"/>
        <w:rPr>
          <w:rFonts w:cstheme="minorHAnsi"/>
          <w:spacing w:val="-4"/>
        </w:rPr>
      </w:pPr>
      <w:r w:rsidRPr="00832316">
        <w:rPr>
          <w:rFonts w:cstheme="minorHAnsi"/>
          <w:b/>
          <w:bCs/>
          <w:i/>
          <w:iCs/>
          <w:spacing w:val="-4"/>
        </w:rPr>
        <w:t>“Partner”</w:t>
      </w:r>
      <w:r w:rsidRPr="00423A9C">
        <w:rPr>
          <w:rFonts w:cstheme="minorHAnsi"/>
          <w:spacing w:val="-4"/>
        </w:rPr>
        <w:t xml:space="preserve"> means any of the following:</w:t>
      </w:r>
    </w:p>
    <w:p w14:paraId="49F4F322" w14:textId="77777777" w:rsidR="006A129F" w:rsidRPr="00423A9C" w:rsidRDefault="006A129F" w:rsidP="006A129F">
      <w:pPr>
        <w:tabs>
          <w:tab w:val="left" w:pos="0"/>
        </w:tabs>
        <w:suppressAutoHyphens/>
        <w:spacing w:after="0" w:line="280" w:lineRule="atLeast"/>
        <w:jc w:val="both"/>
        <w:rPr>
          <w:rFonts w:cstheme="minorHAnsi"/>
          <w:spacing w:val="-4"/>
        </w:rPr>
      </w:pPr>
      <w:r w:rsidRPr="00423A9C">
        <w:rPr>
          <w:rFonts w:cstheme="minorHAnsi"/>
          <w:spacing w:val="-4"/>
        </w:rPr>
        <w:t>(a)</w:t>
      </w:r>
      <w:r w:rsidRPr="00423A9C">
        <w:rPr>
          <w:rFonts w:cstheme="minorHAnsi"/>
          <w:spacing w:val="-4"/>
        </w:rPr>
        <w:tab/>
        <w:t xml:space="preserve">in the case of a Practice Group that is a partnership, a Midwife who is a </w:t>
      </w:r>
      <w:r>
        <w:rPr>
          <w:rFonts w:cstheme="minorHAnsi"/>
          <w:spacing w:val="-4"/>
        </w:rPr>
        <w:t>P</w:t>
      </w:r>
      <w:r w:rsidRPr="00423A9C">
        <w:rPr>
          <w:rFonts w:cstheme="minorHAnsi"/>
          <w:spacing w:val="-4"/>
        </w:rPr>
        <w:t xml:space="preserve">artner of the Practice </w:t>
      </w:r>
      <w:proofErr w:type="gramStart"/>
      <w:r w:rsidRPr="00423A9C">
        <w:rPr>
          <w:rFonts w:cstheme="minorHAnsi"/>
          <w:spacing w:val="-4"/>
        </w:rPr>
        <w:t>Group;</w:t>
      </w:r>
      <w:proofErr w:type="gramEnd"/>
      <w:r w:rsidRPr="00423A9C">
        <w:rPr>
          <w:rFonts w:cstheme="minorHAnsi"/>
          <w:spacing w:val="-4"/>
        </w:rPr>
        <w:t xml:space="preserve"> </w:t>
      </w:r>
    </w:p>
    <w:p w14:paraId="552048ED" w14:textId="77777777" w:rsidR="006A129F" w:rsidRPr="00423A9C" w:rsidRDefault="006A129F" w:rsidP="006A129F">
      <w:pPr>
        <w:tabs>
          <w:tab w:val="left" w:pos="0"/>
        </w:tabs>
        <w:suppressAutoHyphens/>
        <w:spacing w:after="0" w:line="280" w:lineRule="atLeast"/>
        <w:jc w:val="both"/>
        <w:rPr>
          <w:rFonts w:cstheme="minorHAnsi"/>
          <w:spacing w:val="-4"/>
        </w:rPr>
      </w:pPr>
      <w:r w:rsidRPr="00423A9C">
        <w:rPr>
          <w:rFonts w:cstheme="minorHAnsi"/>
          <w:spacing w:val="-4"/>
        </w:rPr>
        <w:t>(b)</w:t>
      </w:r>
      <w:r w:rsidRPr="00423A9C">
        <w:rPr>
          <w:rFonts w:cstheme="minorHAnsi"/>
          <w:spacing w:val="-4"/>
        </w:rPr>
        <w:tab/>
        <w:t>in the case of a Practice Group that is a sole proprietorship, the Midwife who is the sole proprietor; and</w:t>
      </w:r>
    </w:p>
    <w:p w14:paraId="529A8350" w14:textId="77777777" w:rsidR="006A129F" w:rsidRDefault="006A129F" w:rsidP="006A129F">
      <w:pPr>
        <w:jc w:val="both"/>
        <w:rPr>
          <w:rFonts w:cstheme="minorHAnsi"/>
          <w:spacing w:val="-4"/>
        </w:rPr>
      </w:pPr>
      <w:r w:rsidRPr="00423A9C">
        <w:rPr>
          <w:rFonts w:cstheme="minorHAnsi"/>
          <w:spacing w:val="-4"/>
        </w:rPr>
        <w:t>(c)</w:t>
      </w:r>
      <w:r w:rsidRPr="00423A9C">
        <w:rPr>
          <w:rFonts w:cstheme="minorHAnsi"/>
          <w:spacing w:val="-4"/>
        </w:rPr>
        <w:tab/>
        <w:t>in the case of a Practice Group that is a corporation, a Midwife who is a shareholder of the corporation.</w:t>
      </w:r>
      <w:r>
        <w:rPr>
          <w:rFonts w:cstheme="minorHAnsi"/>
          <w:spacing w:val="-4"/>
        </w:rPr>
        <w:t xml:space="preserve"> </w:t>
      </w:r>
    </w:p>
    <w:p w14:paraId="0CAC7E64" w14:textId="77777777" w:rsidR="006A129F" w:rsidRPr="009606EC" w:rsidRDefault="006A129F" w:rsidP="006A129F">
      <w:pPr>
        <w:jc w:val="both"/>
        <w:rPr>
          <w:iCs/>
        </w:rPr>
      </w:pPr>
      <w:bookmarkStart w:id="5" w:name="_Hlk130485391"/>
      <w:r w:rsidRPr="009606EC">
        <w:rPr>
          <w:b/>
          <w:bCs/>
          <w:i/>
        </w:rPr>
        <w:t>"Poisoned work environment”</w:t>
      </w:r>
      <w:r>
        <w:rPr>
          <w:b/>
          <w:bCs/>
          <w:iCs/>
        </w:rPr>
        <w:t xml:space="preserve"> </w:t>
      </w:r>
      <w:r>
        <w:rPr>
          <w:iCs/>
        </w:rPr>
        <w:t xml:space="preserve">refers to </w:t>
      </w:r>
      <w:r w:rsidRPr="009606EC">
        <w:rPr>
          <w:iCs/>
        </w:rPr>
        <w:t>a form of discrimination and can arise from even a single incident. It may be created by the comments or actions of any person. The comments or conduct do not have to be directed at a particular individual.</w:t>
      </w:r>
      <w:r>
        <w:rPr>
          <w:iCs/>
        </w:rPr>
        <w:t xml:space="preserve"> Such an environment can be </w:t>
      </w:r>
      <w:r w:rsidRPr="00B77187">
        <w:rPr>
          <w:iCs/>
        </w:rPr>
        <w:t>created when workplace harassment/discrimination</w:t>
      </w:r>
      <w:r>
        <w:rPr>
          <w:iCs/>
        </w:rPr>
        <w:t xml:space="preserve">, </w:t>
      </w:r>
      <w:r w:rsidRPr="00B77187">
        <w:rPr>
          <w:iCs/>
        </w:rPr>
        <w:t>with broad overtones</w:t>
      </w:r>
      <w:r>
        <w:rPr>
          <w:iCs/>
        </w:rPr>
        <w:t>,</w:t>
      </w:r>
      <w:r w:rsidRPr="00B77187">
        <w:rPr>
          <w:iCs/>
        </w:rPr>
        <w:t xml:space="preserve"> create a hostile, negative, intolerable work place as assessed by a reasonable, objective observer.</w:t>
      </w:r>
      <w:r>
        <w:rPr>
          <w:iCs/>
        </w:rPr>
        <w:t xml:space="preserve"> </w:t>
      </w:r>
      <w:r w:rsidRPr="009606EC">
        <w:rPr>
          <w:iCs/>
        </w:rPr>
        <w:t xml:space="preserve">Ongoing jokes and comments or derogatory statements made about </w:t>
      </w:r>
      <w:r>
        <w:rPr>
          <w:iCs/>
        </w:rPr>
        <w:t>someone’s race, creed, religion or any other Protected Grounds</w:t>
      </w:r>
      <w:r w:rsidRPr="009606EC">
        <w:rPr>
          <w:iCs/>
        </w:rPr>
        <w:t xml:space="preserve"> in a workplace may constitute harassment or create a "poisoned environment" by making them feel uncomfortable, threatened or unwelcome.</w:t>
      </w:r>
      <w:r>
        <w:rPr>
          <w:iCs/>
        </w:rPr>
        <w:t xml:space="preserve"> </w:t>
      </w:r>
    </w:p>
    <w:bookmarkEnd w:id="5"/>
    <w:p w14:paraId="50796C23" w14:textId="77777777" w:rsidR="006A129F" w:rsidRDefault="006A129F" w:rsidP="006A129F">
      <w:pPr>
        <w:jc w:val="both"/>
      </w:pPr>
      <w:r>
        <w:rPr>
          <w:b/>
          <w:bCs/>
          <w:iCs/>
        </w:rPr>
        <w:t>“</w:t>
      </w:r>
      <w:r w:rsidRPr="00832316">
        <w:rPr>
          <w:b/>
          <w:bCs/>
          <w:i/>
        </w:rPr>
        <w:t>Respondent</w:t>
      </w:r>
      <w:r>
        <w:rPr>
          <w:b/>
          <w:bCs/>
          <w:iCs/>
        </w:rPr>
        <w:t>”</w:t>
      </w:r>
      <w:r w:rsidRPr="00F45556">
        <w:rPr>
          <w:b/>
          <w:bCs/>
        </w:rPr>
        <w:t xml:space="preserve"> </w:t>
      </w:r>
      <w:r w:rsidRPr="00D95A19">
        <w:t>means the person(s) complained against who has allegedly engaged in harassing behaviour.</w:t>
      </w:r>
    </w:p>
    <w:p w14:paraId="5D366230" w14:textId="77777777" w:rsidR="006A129F" w:rsidRPr="00700F4F" w:rsidRDefault="006A129F" w:rsidP="006A129F">
      <w:pPr>
        <w:jc w:val="both"/>
        <w:rPr>
          <w:b/>
          <w:bCs/>
        </w:rPr>
      </w:pPr>
      <w:r>
        <w:rPr>
          <w:b/>
        </w:rPr>
        <w:t xml:space="preserve">“Protected Grounds” </w:t>
      </w:r>
      <w:r w:rsidRPr="009606EC">
        <w:t xml:space="preserve">means </w:t>
      </w:r>
      <w:r>
        <w:t xml:space="preserve">any Protected Grounds as defined by the Ontario Human Rights Code as it may be amended from time to time, including </w:t>
      </w:r>
      <w:r w:rsidRPr="009606EC">
        <w:t xml:space="preserve">race, ancestry, place of origin, colour, ethnic origin, citizenship, creed, sex, sexual orientation, gender identity, gender expression, age, record of offences, marital status, family status or disability. </w:t>
      </w:r>
    </w:p>
    <w:p w14:paraId="0A61C5B9" w14:textId="77777777" w:rsidR="006A129F" w:rsidRPr="00AF43BC" w:rsidRDefault="006A129F" w:rsidP="006A129F">
      <w:pPr>
        <w:spacing w:line="240" w:lineRule="auto"/>
        <w:jc w:val="both"/>
        <w:rPr>
          <w:lang w:eastAsia="en-CA"/>
        </w:rPr>
      </w:pPr>
      <w:r w:rsidRPr="00D7424A">
        <w:rPr>
          <w:b/>
          <w:bCs/>
          <w:i/>
          <w:lang w:eastAsia="en-CA"/>
        </w:rPr>
        <w:t>"</w:t>
      </w:r>
      <w:r>
        <w:rPr>
          <w:b/>
          <w:bCs/>
          <w:i/>
          <w:lang w:eastAsia="en-CA"/>
        </w:rPr>
        <w:t>S</w:t>
      </w:r>
      <w:r w:rsidRPr="00D7424A">
        <w:rPr>
          <w:b/>
          <w:bCs/>
          <w:i/>
          <w:lang w:eastAsia="en-CA"/>
        </w:rPr>
        <w:t>upervisor</w:t>
      </w:r>
      <w:r w:rsidRPr="00D7424A">
        <w:rPr>
          <w:i/>
          <w:lang w:eastAsia="en-CA"/>
        </w:rPr>
        <w:t xml:space="preserve">” </w:t>
      </w:r>
      <w:r w:rsidRPr="00AF43BC">
        <w:rPr>
          <w:lang w:eastAsia="en-CA"/>
        </w:rPr>
        <w:t xml:space="preserve">means a person who has charge of a </w:t>
      </w:r>
      <w:r>
        <w:rPr>
          <w:lang w:eastAsia="en-CA"/>
        </w:rPr>
        <w:t>W</w:t>
      </w:r>
      <w:r w:rsidRPr="00AF43BC">
        <w:rPr>
          <w:lang w:eastAsia="en-CA"/>
        </w:rPr>
        <w:t xml:space="preserve">orkplace or authority over a </w:t>
      </w:r>
      <w:r>
        <w:rPr>
          <w:lang w:eastAsia="en-CA"/>
        </w:rPr>
        <w:t>W</w:t>
      </w:r>
      <w:r w:rsidRPr="00AF43BC">
        <w:rPr>
          <w:lang w:eastAsia="en-CA"/>
        </w:rPr>
        <w:t>orker</w:t>
      </w:r>
      <w:r>
        <w:rPr>
          <w:lang w:eastAsia="en-CA"/>
        </w:rPr>
        <w:t>.</w:t>
      </w:r>
    </w:p>
    <w:p w14:paraId="63EB0E77" w14:textId="77777777" w:rsidR="006A129F" w:rsidRPr="00D95A19" w:rsidRDefault="006A129F" w:rsidP="006A129F">
      <w:pPr>
        <w:jc w:val="both"/>
        <w:rPr>
          <w:b/>
          <w:bCs/>
          <w:i/>
        </w:rPr>
      </w:pPr>
      <w:r w:rsidRPr="00832316">
        <w:rPr>
          <w:b/>
          <w:bCs/>
          <w:i/>
        </w:rPr>
        <w:t>“Witness</w:t>
      </w:r>
      <w:r>
        <w:rPr>
          <w:b/>
          <w:bCs/>
          <w:iCs/>
        </w:rPr>
        <w:t>”</w:t>
      </w:r>
      <w:r w:rsidRPr="00F45556">
        <w:rPr>
          <w:b/>
          <w:bCs/>
        </w:rPr>
        <w:t xml:space="preserve"> </w:t>
      </w:r>
      <w:r w:rsidRPr="00D95A19">
        <w:t>means a person who may have information regarding the allegations made by the complainant.</w:t>
      </w:r>
    </w:p>
    <w:p w14:paraId="4B96D747" w14:textId="77777777" w:rsidR="006A129F" w:rsidRDefault="006A129F" w:rsidP="006A129F">
      <w:pPr>
        <w:jc w:val="both"/>
        <w:rPr>
          <w:rFonts w:cs="Calibri"/>
        </w:rPr>
      </w:pPr>
      <w:r>
        <w:rPr>
          <w:b/>
          <w:bCs/>
        </w:rPr>
        <w:lastRenderedPageBreak/>
        <w:t>“</w:t>
      </w:r>
      <w:r w:rsidRPr="00832316">
        <w:rPr>
          <w:b/>
          <w:bCs/>
          <w:i/>
          <w:iCs/>
        </w:rPr>
        <w:t>Worker</w:t>
      </w:r>
      <w:r>
        <w:rPr>
          <w:b/>
          <w:bCs/>
        </w:rPr>
        <w:t>”</w:t>
      </w:r>
      <w:r w:rsidRPr="008876FF">
        <w:rPr>
          <w:rFonts w:cs="Calibri"/>
        </w:rPr>
        <w:t xml:space="preserve"> </w:t>
      </w:r>
      <w:r w:rsidRPr="006569DD">
        <w:rPr>
          <w:color w:val="000000" w:themeColor="text1"/>
        </w:rPr>
        <w:t xml:space="preserve">refers to all </w:t>
      </w:r>
      <w:r>
        <w:rPr>
          <w:color w:val="000000" w:themeColor="text1"/>
        </w:rPr>
        <w:t>W</w:t>
      </w:r>
      <w:r w:rsidRPr="006569DD">
        <w:rPr>
          <w:color w:val="000000" w:themeColor="text1"/>
        </w:rPr>
        <w:t xml:space="preserve">orkers in a </w:t>
      </w:r>
      <w:r>
        <w:rPr>
          <w:color w:val="000000" w:themeColor="text1"/>
        </w:rPr>
        <w:t>W</w:t>
      </w:r>
      <w:r w:rsidRPr="006569DD">
        <w:rPr>
          <w:color w:val="000000" w:themeColor="text1"/>
        </w:rPr>
        <w:t>orkplace, including employees and independent contractors</w:t>
      </w:r>
      <w:r w:rsidRPr="004B1004">
        <w:rPr>
          <w:rFonts w:ascii="Palatino Linotype" w:hAnsi="Palatino Linotype"/>
          <w:color w:val="4C4C4E"/>
        </w:rPr>
        <w:t xml:space="preserve">. </w:t>
      </w:r>
      <w:r>
        <w:rPr>
          <w:rFonts w:ascii="Palatino Linotype" w:hAnsi="Palatino Linotype"/>
          <w:color w:val="4C4C4E"/>
        </w:rPr>
        <w:t>This</w:t>
      </w:r>
      <w:r w:rsidRPr="0096285E">
        <w:rPr>
          <w:rFonts w:cs="Calibri"/>
        </w:rPr>
        <w:t xml:space="preserve"> includes midwives, full-time, part-time, temporary, probationary, casual and contract </w:t>
      </w:r>
      <w:r>
        <w:rPr>
          <w:rFonts w:cs="Calibri"/>
        </w:rPr>
        <w:t>W</w:t>
      </w:r>
      <w:r w:rsidRPr="0096285E">
        <w:rPr>
          <w:rFonts w:cs="Calibri"/>
        </w:rPr>
        <w:t xml:space="preserve">orkers, </w:t>
      </w:r>
      <w:r>
        <w:rPr>
          <w:rFonts w:cs="Calibri"/>
        </w:rPr>
        <w:t>P</w:t>
      </w:r>
      <w:r w:rsidRPr="0096285E">
        <w:rPr>
          <w:rFonts w:cs="Calibri"/>
        </w:rPr>
        <w:t xml:space="preserve">artners, associates, supervised and mentored midwives, administrative staff volunteers, and students.  </w:t>
      </w:r>
    </w:p>
    <w:p w14:paraId="74CD95C8" w14:textId="77777777" w:rsidR="006A129F" w:rsidRPr="008876FF" w:rsidRDefault="006A129F" w:rsidP="006A129F">
      <w:pPr>
        <w:jc w:val="both"/>
        <w:rPr>
          <w:rFonts w:cs="Calibri"/>
        </w:rPr>
      </w:pPr>
      <w:r>
        <w:rPr>
          <w:rFonts w:cs="Calibri"/>
          <w:b/>
          <w:bCs/>
        </w:rPr>
        <w:t>“</w:t>
      </w:r>
      <w:r w:rsidRPr="00832316">
        <w:rPr>
          <w:rFonts w:cs="Calibri"/>
          <w:b/>
          <w:bCs/>
          <w:i/>
          <w:iCs/>
        </w:rPr>
        <w:t>Workplace</w:t>
      </w:r>
      <w:r>
        <w:rPr>
          <w:rFonts w:cs="Calibri"/>
          <w:b/>
          <w:bCs/>
        </w:rPr>
        <w:t>”</w:t>
      </w:r>
      <w:r w:rsidRPr="008876FF">
        <w:rPr>
          <w:rFonts w:cs="Calibri"/>
        </w:rPr>
        <w:t xml:space="preserve"> includes any setting where a </w:t>
      </w:r>
      <w:r>
        <w:rPr>
          <w:rFonts w:cs="Calibri"/>
        </w:rPr>
        <w:t xml:space="preserve">Worker is working </w:t>
      </w:r>
      <w:r w:rsidRPr="008876FF">
        <w:rPr>
          <w:rFonts w:cs="Calibri"/>
        </w:rPr>
        <w:t xml:space="preserve">on behalf of the practice group. For greater clarity, this includes, but is not limited to, a client’s home, the midwifery </w:t>
      </w:r>
      <w:proofErr w:type="gramStart"/>
      <w:r w:rsidRPr="008876FF">
        <w:rPr>
          <w:rFonts w:cs="Calibri"/>
        </w:rPr>
        <w:t xml:space="preserve">clinic,   </w:t>
      </w:r>
      <w:proofErr w:type="gramEnd"/>
      <w:r w:rsidRPr="008876FF">
        <w:rPr>
          <w:rFonts w:cs="Calibri"/>
        </w:rPr>
        <w:t>other community settings, telephone, email, social media, etc.</w:t>
      </w:r>
      <w:r>
        <w:rPr>
          <w:rFonts w:cs="Calibri"/>
        </w:rPr>
        <w:t xml:space="preserve"> </w:t>
      </w:r>
      <w:bookmarkStart w:id="6" w:name="_Hlk127375376"/>
      <w:r w:rsidRPr="00832316">
        <w:rPr>
          <w:rFonts w:cstheme="minorHAnsi"/>
          <w:color w:val="000000" w:themeColor="text1"/>
        </w:rPr>
        <w:t>Although hospitals and birth centres are places midwives work, for the purposes of this policy, these Workplaces are not included in this policy. These places will have their own policies and Workers should comply with the policies and procedures of the setting hospital(s) and birth centre where they hold privileges when in those settings.</w:t>
      </w:r>
    </w:p>
    <w:bookmarkEnd w:id="6"/>
    <w:p w14:paraId="0DF81571" w14:textId="77777777" w:rsidR="006A129F" w:rsidRPr="00F54535" w:rsidRDefault="006A129F" w:rsidP="006A129F">
      <w:pPr>
        <w:jc w:val="both"/>
        <w:rPr>
          <w:highlight w:val="yellow"/>
        </w:rPr>
      </w:pPr>
      <w:r>
        <w:rPr>
          <w:b/>
          <w:bCs/>
        </w:rPr>
        <w:t>“</w:t>
      </w:r>
      <w:r w:rsidRPr="00832316">
        <w:rPr>
          <w:b/>
          <w:bCs/>
          <w:i/>
          <w:iCs/>
        </w:rPr>
        <w:t>Workplace Harassment</w:t>
      </w:r>
      <w:r>
        <w:rPr>
          <w:b/>
          <w:bCs/>
        </w:rPr>
        <w:t>”</w:t>
      </w:r>
      <w:r>
        <w:t xml:space="preserve"> </w:t>
      </w:r>
      <w:bookmarkStart w:id="7" w:name="_Hlk130555307"/>
      <w:r>
        <w:t>means engaging in a course of vexatious comment or conduct against a Worker in a Workplace that is known or ought reasonably to be known to be unwelcome.</w:t>
      </w:r>
      <w:r w:rsidRPr="00A305CC">
        <w:rPr>
          <w:vertAlign w:val="superscript"/>
          <w:lang w:val="en"/>
        </w:rPr>
        <w:footnoteReference w:id="6"/>
      </w:r>
      <w:r>
        <w:t xml:space="preserve"> </w:t>
      </w:r>
      <w:r w:rsidRPr="00A305CC">
        <w:rPr>
          <w:bCs/>
          <w:lang w:val="en-US"/>
        </w:rPr>
        <w:t>It</w:t>
      </w:r>
      <w:r>
        <w:rPr>
          <w:bCs/>
          <w:lang w:val="en-US"/>
        </w:rPr>
        <w:t xml:space="preserve"> can</w:t>
      </w:r>
      <w:r w:rsidRPr="00A305CC">
        <w:rPr>
          <w:bCs/>
          <w:lang w:val="en-US"/>
        </w:rPr>
        <w:t xml:space="preserve"> comprise </w:t>
      </w:r>
      <w:r>
        <w:rPr>
          <w:bCs/>
          <w:lang w:val="en-US"/>
        </w:rPr>
        <w:t>of making jokes or insults, posting material that can be viewed by the Worker, or the use of objectionable names based on any of the Protected Grounds.</w:t>
      </w:r>
      <w:r w:rsidRPr="00A305CC">
        <w:rPr>
          <w:bCs/>
          <w:lang w:val="en-US"/>
        </w:rPr>
        <w:t xml:space="preserve"> It includes</w:t>
      </w:r>
      <w:r>
        <w:rPr>
          <w:bCs/>
          <w:lang w:val="en-US"/>
        </w:rPr>
        <w:t xml:space="preserve"> </w:t>
      </w:r>
      <w:r w:rsidRPr="00A305CC">
        <w:rPr>
          <w:bCs/>
          <w:lang w:val="en-US"/>
        </w:rPr>
        <w:t>the creation of a poisoned work environment</w:t>
      </w:r>
      <w:r>
        <w:rPr>
          <w:bCs/>
          <w:lang w:val="en-US"/>
        </w:rPr>
        <w:t xml:space="preserve"> and </w:t>
      </w:r>
      <w:r w:rsidRPr="00A305CC">
        <w:rPr>
          <w:bCs/>
          <w:lang w:val="en-US"/>
        </w:rPr>
        <w:t>harassment based on any of the</w:t>
      </w:r>
      <w:r>
        <w:rPr>
          <w:bCs/>
          <w:lang w:val="en-US"/>
        </w:rPr>
        <w:t xml:space="preserve"> Protected Grounds.</w:t>
      </w:r>
      <w:r w:rsidRPr="00A305CC">
        <w:rPr>
          <w:bCs/>
          <w:lang w:val="en-US"/>
        </w:rPr>
        <w:t xml:space="preserve"> It could be considered harassment even if a person does not explicitly object to harassing behaviour or appears to be going along with it.</w:t>
      </w:r>
      <w:bookmarkEnd w:id="7"/>
    </w:p>
    <w:p w14:paraId="015B463A" w14:textId="77777777" w:rsidR="006A129F" w:rsidRPr="00A305CC" w:rsidRDefault="006A129F" w:rsidP="006A129F">
      <w:pPr>
        <w:jc w:val="both"/>
        <w:rPr>
          <w:lang w:val="en-US"/>
        </w:rPr>
      </w:pPr>
      <w:r w:rsidRPr="00A305CC">
        <w:rPr>
          <w:lang w:val="en-US"/>
        </w:rPr>
        <w:t xml:space="preserve">For clarity, the following actions </w:t>
      </w:r>
      <w:r w:rsidRPr="00A305CC">
        <w:rPr>
          <w:u w:val="single"/>
          <w:lang w:val="en-US"/>
        </w:rPr>
        <w:t xml:space="preserve">do not </w:t>
      </w:r>
      <w:r w:rsidRPr="00A305CC">
        <w:rPr>
          <w:lang w:val="en-US"/>
        </w:rPr>
        <w:t>constitute harassment</w:t>
      </w:r>
      <w:r w:rsidRPr="00A305CC">
        <w:rPr>
          <w:vertAlign w:val="superscript"/>
          <w:lang w:val="en-US"/>
        </w:rPr>
        <w:footnoteReference w:id="7"/>
      </w:r>
      <w:r w:rsidRPr="00A305CC">
        <w:rPr>
          <w:lang w:val="en-US"/>
        </w:rPr>
        <w:t>: </w:t>
      </w:r>
    </w:p>
    <w:p w14:paraId="25A1DF10" w14:textId="77777777" w:rsidR="006A129F" w:rsidRPr="00A305CC" w:rsidRDefault="006A129F" w:rsidP="006A129F">
      <w:pPr>
        <w:numPr>
          <w:ilvl w:val="0"/>
          <w:numId w:val="5"/>
        </w:numPr>
        <w:jc w:val="both"/>
        <w:rPr>
          <w:lang w:val="en-US"/>
        </w:rPr>
      </w:pPr>
      <w:r w:rsidRPr="00A305CC">
        <w:rPr>
          <w:lang w:val="en-US"/>
        </w:rPr>
        <w:t xml:space="preserve">Reasonable actions </w:t>
      </w:r>
      <w:r>
        <w:t>taken by a practice Partner or supervisor relating to the management and direction of Workers or the Workplace is not Workplace Harassment</w:t>
      </w:r>
      <w:r w:rsidRPr="00A305CC">
        <w:rPr>
          <w:lang w:val="en-US"/>
        </w:rPr>
        <w:t xml:space="preserve">and those actions that would be a normal part of being a preceptor to a student such as student evaluations and ongoing feedback to the student or the school.  Note:  If these actions are not exercised reasonably and fairly or are carried out in a manner that is offensive, humiliating, or embarrassing or when power and authority are used in a non-professional way such as using threats, </w:t>
      </w:r>
      <w:proofErr w:type="gramStart"/>
      <w:r w:rsidRPr="00A305CC">
        <w:rPr>
          <w:lang w:val="en-US"/>
        </w:rPr>
        <w:t>fear</w:t>
      </w:r>
      <w:proofErr w:type="gramEnd"/>
      <w:r w:rsidRPr="00A305CC">
        <w:rPr>
          <w:lang w:val="en-US"/>
        </w:rPr>
        <w:t xml:space="preserve"> and intimidation – both verbal and non-verbal</w:t>
      </w:r>
      <w:r w:rsidRPr="00A305CC">
        <w:rPr>
          <w:vertAlign w:val="superscript"/>
          <w:lang w:val="en-US"/>
        </w:rPr>
        <w:footnoteReference w:id="8"/>
      </w:r>
      <w:r w:rsidRPr="00A305CC">
        <w:rPr>
          <w:lang w:val="en-US"/>
        </w:rPr>
        <w:t>, they may constitute workplace harassment. </w:t>
      </w:r>
    </w:p>
    <w:p w14:paraId="4DF720EF" w14:textId="77777777" w:rsidR="006A129F" w:rsidRPr="00A305CC" w:rsidRDefault="006A129F" w:rsidP="006A129F">
      <w:pPr>
        <w:numPr>
          <w:ilvl w:val="0"/>
          <w:numId w:val="5"/>
        </w:numPr>
        <w:jc w:val="both"/>
        <w:rPr>
          <w:lang w:val="en-US"/>
        </w:rPr>
      </w:pPr>
      <w:r w:rsidRPr="00A305CC">
        <w:rPr>
          <w:lang w:val="en-US"/>
        </w:rPr>
        <w:t xml:space="preserve">Normal process of obtaining and receiving feedback from members, the public or stakeholders on programs, </w:t>
      </w:r>
      <w:proofErr w:type="gramStart"/>
      <w:r w:rsidRPr="00A305CC">
        <w:rPr>
          <w:lang w:val="en-US"/>
        </w:rPr>
        <w:t>operations</w:t>
      </w:r>
      <w:proofErr w:type="gramEnd"/>
      <w:r w:rsidRPr="00A305CC">
        <w:rPr>
          <w:lang w:val="en-US"/>
        </w:rPr>
        <w:t xml:space="preserve"> or service (however, how such feedback is provided may constitute harassment for instance, </w:t>
      </w:r>
      <w:r>
        <w:rPr>
          <w:lang w:val="en-US"/>
        </w:rPr>
        <w:t>if in</w:t>
      </w:r>
      <w:r w:rsidRPr="00A305CC">
        <w:rPr>
          <w:lang w:val="en-US"/>
        </w:rPr>
        <w:t xml:space="preserve"> a condescending or mocking tone</w:t>
      </w:r>
      <w:r>
        <w:rPr>
          <w:lang w:val="en-US"/>
        </w:rPr>
        <w:t>)</w:t>
      </w:r>
      <w:r w:rsidRPr="00A305CC">
        <w:rPr>
          <w:lang w:val="en-US"/>
        </w:rPr>
        <w:t>.</w:t>
      </w:r>
    </w:p>
    <w:p w14:paraId="1CB7580A" w14:textId="77777777" w:rsidR="006A129F" w:rsidRPr="00A305CC" w:rsidRDefault="006A129F" w:rsidP="006A129F">
      <w:pPr>
        <w:numPr>
          <w:ilvl w:val="0"/>
          <w:numId w:val="5"/>
        </w:numPr>
        <w:jc w:val="both"/>
        <w:rPr>
          <w:lang w:val="en-US"/>
        </w:rPr>
      </w:pPr>
      <w:r w:rsidRPr="00A305CC">
        <w:rPr>
          <w:lang w:val="en-US"/>
        </w:rPr>
        <w:t xml:space="preserve">Differences of opinion, conflict, or minor disagreements between co-workers, unless such matters precluded or resulted in harassing behaviour.  </w:t>
      </w:r>
    </w:p>
    <w:p w14:paraId="40B9464F" w14:textId="77777777" w:rsidR="006A129F" w:rsidRPr="00A305CC" w:rsidRDefault="006A129F" w:rsidP="006A129F">
      <w:pPr>
        <w:numPr>
          <w:ilvl w:val="0"/>
          <w:numId w:val="5"/>
        </w:numPr>
        <w:jc w:val="both"/>
        <w:rPr>
          <w:lang w:val="en-US"/>
        </w:rPr>
      </w:pPr>
      <w:r w:rsidRPr="00A305CC">
        <w:rPr>
          <w:lang w:val="en-US"/>
        </w:rPr>
        <w:t xml:space="preserve">Workplace stress, difficult conditions of employment, professional constraints, and organizational changes. </w:t>
      </w:r>
    </w:p>
    <w:p w14:paraId="1ECB13E7" w14:textId="77777777" w:rsidR="006A129F" w:rsidRPr="00423A9C" w:rsidRDefault="006A129F" w:rsidP="006A129F">
      <w:pPr>
        <w:spacing w:after="0"/>
        <w:jc w:val="both"/>
        <w:rPr>
          <w:rFonts w:cstheme="minorHAnsi"/>
        </w:rPr>
      </w:pPr>
      <w:r>
        <w:rPr>
          <w:b/>
          <w:bCs/>
          <w:iCs/>
        </w:rPr>
        <w:lastRenderedPageBreak/>
        <w:t>“</w:t>
      </w:r>
      <w:r w:rsidRPr="00832316">
        <w:rPr>
          <w:b/>
          <w:bCs/>
          <w:i/>
        </w:rPr>
        <w:t xml:space="preserve">Workplace </w:t>
      </w:r>
      <w:r w:rsidRPr="008121F7">
        <w:rPr>
          <w:b/>
          <w:bCs/>
          <w:i/>
        </w:rPr>
        <w:t>Racial Harassment</w:t>
      </w:r>
      <w:r>
        <w:rPr>
          <w:b/>
          <w:bCs/>
          <w:iCs/>
        </w:rPr>
        <w:t>”</w:t>
      </w:r>
      <w:r w:rsidRPr="00885631">
        <w:rPr>
          <w:b/>
          <w:bCs/>
        </w:rPr>
        <w:t xml:space="preserve"> </w:t>
      </w:r>
      <w:r w:rsidRPr="00832316">
        <w:t>refers to unwelcome and/or repeated words or actions directed to an individual</w:t>
      </w:r>
      <w:r>
        <w:t xml:space="preserve"> or </w:t>
      </w:r>
      <w:r w:rsidRPr="00832316">
        <w:t xml:space="preserve">group because of their race, colour, ancestry, place of origin, ethnic origin, creed and/or citizenship. Racial harassment may also be based on things related to the individual, such as cultural clothing they may wear, if they speak with an accent or practice a certain religion. The words or actions are of the sort that are known or ought to be known to be offensive, embarrassing, humiliating or demeaning to a </w:t>
      </w:r>
      <w:r>
        <w:t>W</w:t>
      </w:r>
      <w:r w:rsidRPr="00832316">
        <w:t xml:space="preserve">orker or group of </w:t>
      </w:r>
      <w:r>
        <w:t>W</w:t>
      </w:r>
      <w:r w:rsidRPr="00832316">
        <w:t xml:space="preserve">orkers and can happen both inside and outside of the </w:t>
      </w:r>
      <w:r>
        <w:t>W</w:t>
      </w:r>
      <w:r w:rsidRPr="00832316">
        <w:t>orkplace (e.g., through social media, work-related and social gatherings, etc.).</w:t>
      </w:r>
      <w:r>
        <w:rPr>
          <w:rStyle w:val="FootnoteReference"/>
        </w:rPr>
        <w:footnoteReference w:id="9"/>
      </w:r>
      <w:r w:rsidRPr="009A58AA" w:rsidDel="00423A9C">
        <w:rPr>
          <w:vertAlign w:val="superscript"/>
        </w:rPr>
        <w:t xml:space="preserve"> </w:t>
      </w:r>
      <w:r w:rsidRPr="000A23A6">
        <w:rPr>
          <w:rFonts w:cstheme="minorHAnsi"/>
        </w:rPr>
        <w:t xml:space="preserve"> </w:t>
      </w:r>
      <w:r w:rsidRPr="00423A9C">
        <w:rPr>
          <w:rFonts w:cstheme="minorHAnsi"/>
        </w:rPr>
        <w:t>Behaviours that constitute racism include but are not limited to</w:t>
      </w:r>
      <w:r w:rsidRPr="00423A9C">
        <w:rPr>
          <w:rStyle w:val="FootnoteReference"/>
          <w:rFonts w:cstheme="minorHAnsi"/>
        </w:rPr>
        <w:footnoteReference w:id="10"/>
      </w:r>
      <w:r w:rsidRPr="00423A9C">
        <w:rPr>
          <w:rFonts w:cstheme="minorHAnsi"/>
        </w:rPr>
        <w:t>:</w:t>
      </w:r>
    </w:p>
    <w:p w14:paraId="6FC7382B" w14:textId="77777777" w:rsidR="006A129F" w:rsidRPr="00423A9C" w:rsidRDefault="006A129F" w:rsidP="006A129F">
      <w:pPr>
        <w:pStyle w:val="ListParagraph"/>
        <w:numPr>
          <w:ilvl w:val="0"/>
          <w:numId w:val="7"/>
        </w:numPr>
        <w:spacing w:after="100" w:afterAutospacing="1" w:line="240" w:lineRule="auto"/>
        <w:jc w:val="both"/>
        <w:rPr>
          <w:rFonts w:cstheme="minorHAnsi"/>
          <w:lang w:val="en"/>
        </w:rPr>
      </w:pPr>
      <w:r>
        <w:rPr>
          <w:rFonts w:cstheme="minorHAnsi"/>
          <w:lang w:val="en"/>
        </w:rPr>
        <w:t>V</w:t>
      </w:r>
      <w:r w:rsidRPr="00423A9C">
        <w:rPr>
          <w:rFonts w:cstheme="minorHAnsi"/>
          <w:lang w:val="en"/>
        </w:rPr>
        <w:t xml:space="preserve">erbal abuse in the form of racial slurs, stereotypes, hate speech, vexatious and/or exclusionary </w:t>
      </w:r>
      <w:r w:rsidRPr="004F2EDE">
        <w:rPr>
          <w:rFonts w:cstheme="minorHAnsi"/>
        </w:rPr>
        <w:t>behaviour</w:t>
      </w:r>
      <w:r w:rsidRPr="00423A9C">
        <w:rPr>
          <w:rFonts w:cstheme="minorHAnsi"/>
          <w:lang w:val="en"/>
        </w:rPr>
        <w:t xml:space="preserve"> or communication</w:t>
      </w:r>
      <w:r>
        <w:rPr>
          <w:rFonts w:cstheme="minorHAnsi"/>
          <w:lang w:val="en"/>
        </w:rPr>
        <w:t>.</w:t>
      </w:r>
    </w:p>
    <w:p w14:paraId="48C2ACC0" w14:textId="77777777" w:rsidR="006A129F" w:rsidRPr="00423A9C" w:rsidRDefault="006A129F" w:rsidP="006A129F">
      <w:pPr>
        <w:pStyle w:val="ListParagraph"/>
        <w:numPr>
          <w:ilvl w:val="0"/>
          <w:numId w:val="7"/>
        </w:numPr>
        <w:tabs>
          <w:tab w:val="left" w:pos="0"/>
        </w:tabs>
        <w:spacing w:before="100" w:beforeAutospacing="1" w:after="100" w:afterAutospacing="1" w:line="240" w:lineRule="auto"/>
        <w:jc w:val="both"/>
        <w:rPr>
          <w:rFonts w:cstheme="minorHAnsi"/>
          <w:lang w:val="en"/>
        </w:rPr>
      </w:pPr>
      <w:r>
        <w:rPr>
          <w:rFonts w:cstheme="minorHAnsi"/>
          <w:lang w:val="en"/>
        </w:rPr>
        <w:t>O</w:t>
      </w:r>
      <w:r w:rsidRPr="00423A9C">
        <w:rPr>
          <w:rFonts w:cstheme="minorHAnsi"/>
          <w:lang w:val="en"/>
        </w:rPr>
        <w:t>ffensive remarks and/or “jokes” about a person’s race, culture, religion, language, or ethnicity</w:t>
      </w:r>
      <w:r>
        <w:rPr>
          <w:rFonts w:cstheme="minorHAnsi"/>
          <w:lang w:val="en"/>
        </w:rPr>
        <w:t>.</w:t>
      </w:r>
      <w:r w:rsidRPr="00423A9C">
        <w:rPr>
          <w:rFonts w:cstheme="minorHAnsi"/>
          <w:lang w:val="en"/>
        </w:rPr>
        <w:t xml:space="preserve"> </w:t>
      </w:r>
    </w:p>
    <w:p w14:paraId="6F6A2793" w14:textId="77777777" w:rsidR="006A129F" w:rsidRPr="00423A9C" w:rsidRDefault="006A129F" w:rsidP="006A129F">
      <w:pPr>
        <w:pStyle w:val="ListParagraph"/>
        <w:numPr>
          <w:ilvl w:val="0"/>
          <w:numId w:val="7"/>
        </w:numPr>
        <w:tabs>
          <w:tab w:val="left" w:pos="0"/>
        </w:tabs>
        <w:spacing w:before="100" w:beforeAutospacing="1" w:after="100" w:afterAutospacing="1" w:line="240" w:lineRule="auto"/>
        <w:jc w:val="both"/>
        <w:rPr>
          <w:rFonts w:cstheme="minorHAnsi"/>
          <w:lang w:val="en"/>
        </w:rPr>
      </w:pPr>
      <w:r>
        <w:rPr>
          <w:rFonts w:cstheme="minorHAnsi"/>
          <w:lang w:val="en"/>
        </w:rPr>
        <w:t>D</w:t>
      </w:r>
      <w:r w:rsidRPr="00423A9C">
        <w:rPr>
          <w:rFonts w:cstheme="minorHAnsi"/>
          <w:lang w:val="en"/>
        </w:rPr>
        <w:t>isplay(s) of racist material and/or messaging on social media</w:t>
      </w:r>
      <w:r>
        <w:rPr>
          <w:rFonts w:cstheme="minorHAnsi"/>
          <w:lang w:val="en"/>
        </w:rPr>
        <w:t>.</w:t>
      </w:r>
      <w:r w:rsidRPr="00423A9C">
        <w:rPr>
          <w:rFonts w:cstheme="minorHAnsi"/>
          <w:lang w:val="en"/>
        </w:rPr>
        <w:t xml:space="preserve"> </w:t>
      </w:r>
    </w:p>
    <w:p w14:paraId="567D2CD6" w14:textId="77777777" w:rsidR="006A129F" w:rsidRPr="00423A9C" w:rsidRDefault="006A129F" w:rsidP="006A129F">
      <w:pPr>
        <w:pStyle w:val="ListParagraph"/>
        <w:numPr>
          <w:ilvl w:val="0"/>
          <w:numId w:val="7"/>
        </w:numPr>
        <w:tabs>
          <w:tab w:val="left" w:pos="0"/>
        </w:tabs>
        <w:spacing w:before="100" w:beforeAutospacing="1" w:after="100" w:afterAutospacing="1" w:line="240" w:lineRule="auto"/>
        <w:jc w:val="both"/>
        <w:rPr>
          <w:rFonts w:cstheme="minorHAnsi"/>
          <w:lang w:val="en"/>
        </w:rPr>
      </w:pPr>
      <w:r>
        <w:rPr>
          <w:rFonts w:cstheme="minorHAnsi"/>
          <w:lang w:val="en"/>
        </w:rPr>
        <w:t>V</w:t>
      </w:r>
      <w:r w:rsidRPr="00423A9C">
        <w:rPr>
          <w:rFonts w:cstheme="minorHAnsi"/>
          <w:lang w:val="en"/>
        </w:rPr>
        <w:t>iolent actions that are racially motivated</w:t>
      </w:r>
      <w:r>
        <w:rPr>
          <w:rFonts w:cstheme="minorHAnsi"/>
          <w:lang w:val="en"/>
        </w:rPr>
        <w:t>.</w:t>
      </w:r>
    </w:p>
    <w:p w14:paraId="1B2DE017" w14:textId="77777777" w:rsidR="006A129F" w:rsidRPr="00832316" w:rsidRDefault="006A129F" w:rsidP="006A129F">
      <w:pPr>
        <w:pStyle w:val="ListParagraph"/>
        <w:numPr>
          <w:ilvl w:val="0"/>
          <w:numId w:val="7"/>
        </w:numPr>
        <w:spacing w:before="100" w:beforeAutospacing="1" w:after="100" w:afterAutospacing="1" w:line="240" w:lineRule="auto"/>
        <w:jc w:val="both"/>
        <w:rPr>
          <w:rFonts w:cstheme="minorHAnsi"/>
          <w:lang w:val="en"/>
        </w:rPr>
      </w:pPr>
      <w:r>
        <w:rPr>
          <w:rFonts w:cstheme="minorHAnsi"/>
          <w:lang w:val="en"/>
        </w:rPr>
        <w:t>O</w:t>
      </w:r>
      <w:r w:rsidRPr="00423A9C">
        <w:rPr>
          <w:rFonts w:cstheme="minorHAnsi"/>
          <w:lang w:val="en"/>
        </w:rPr>
        <w:t>vert or covert racially motivated actions that limit the career growth and trajectory of an Indigenous, Black or person of colour (IBPOC), including discriminatory hiring and promoting practices.</w:t>
      </w:r>
    </w:p>
    <w:p w14:paraId="49FA9DBC" w14:textId="77777777" w:rsidR="006A129F" w:rsidRDefault="006A129F" w:rsidP="006A129F">
      <w:pPr>
        <w:jc w:val="both"/>
      </w:pPr>
      <w:r>
        <w:rPr>
          <w:b/>
          <w:bCs/>
        </w:rPr>
        <w:t>“</w:t>
      </w:r>
      <w:r w:rsidRPr="00832316">
        <w:rPr>
          <w:b/>
          <w:bCs/>
          <w:i/>
          <w:iCs/>
        </w:rPr>
        <w:t>Workplace Sexual Harassment</w:t>
      </w:r>
      <w:r>
        <w:rPr>
          <w:b/>
          <w:bCs/>
        </w:rPr>
        <w:t>”</w:t>
      </w:r>
      <w:r>
        <w:t xml:space="preserve"> means:</w:t>
      </w:r>
    </w:p>
    <w:p w14:paraId="2E8204CC" w14:textId="77777777" w:rsidR="006A129F" w:rsidRDefault="006A129F" w:rsidP="006A129F">
      <w:pPr>
        <w:pStyle w:val="ListParagraph"/>
        <w:numPr>
          <w:ilvl w:val="0"/>
          <w:numId w:val="1"/>
        </w:numPr>
        <w:ind w:left="414" w:hanging="357"/>
        <w:contextualSpacing w:val="0"/>
        <w:jc w:val="both"/>
      </w:pPr>
      <w:r>
        <w:t>engaging in a course of vexatious comment or conduct against a Worker in a Workplace because of sex, sexual orientation, gender identity or gender expression, where the course of comment or conduct is known or ought reasonably to be known to be unwelcome, or</w:t>
      </w:r>
    </w:p>
    <w:p w14:paraId="4CFED53C" w14:textId="77777777" w:rsidR="006A129F" w:rsidRDefault="006A129F" w:rsidP="006A129F">
      <w:pPr>
        <w:pStyle w:val="ListParagraph"/>
        <w:numPr>
          <w:ilvl w:val="0"/>
          <w:numId w:val="1"/>
        </w:numPr>
        <w:ind w:left="414"/>
        <w:jc w:val="both"/>
      </w:pPr>
      <w:r>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14:paraId="67473171" w14:textId="77777777" w:rsidR="006A129F" w:rsidRDefault="006A129F" w:rsidP="006A129F">
      <w:pPr>
        <w:spacing w:after="0"/>
        <w:jc w:val="both"/>
      </w:pPr>
      <w:r>
        <w:rPr>
          <w:b/>
          <w:bCs/>
        </w:rPr>
        <w:t>“</w:t>
      </w:r>
      <w:r w:rsidRPr="00832316">
        <w:rPr>
          <w:b/>
          <w:bCs/>
          <w:i/>
          <w:iCs/>
        </w:rPr>
        <w:t>Workplace Violence</w:t>
      </w:r>
      <w:r>
        <w:rPr>
          <w:b/>
          <w:bCs/>
        </w:rPr>
        <w:t xml:space="preserve">” </w:t>
      </w:r>
      <w:r>
        <w:t xml:space="preserve">means </w:t>
      </w:r>
      <w:r w:rsidRPr="00D03DE8">
        <w:t>any and all conduct that can be directly or indirectly construed as violence</w:t>
      </w:r>
      <w:r>
        <w:t xml:space="preserve"> in the Workplace, regardless of source (e.g., clients, colleagues, strangers, intimate partners), including:</w:t>
      </w:r>
    </w:p>
    <w:p w14:paraId="3140A34E" w14:textId="77777777" w:rsidR="006A129F" w:rsidRPr="000E611F" w:rsidRDefault="006A129F" w:rsidP="006A129F">
      <w:pPr>
        <w:numPr>
          <w:ilvl w:val="0"/>
          <w:numId w:val="8"/>
        </w:numPr>
        <w:spacing w:after="0"/>
        <w:jc w:val="both"/>
      </w:pPr>
      <w:r w:rsidRPr="000E611F">
        <w:t>Instigating or engaging in a physical altercation or engaging in any other conduct that results in physical injuries to another person.</w:t>
      </w:r>
    </w:p>
    <w:p w14:paraId="17C5A65A" w14:textId="77777777" w:rsidR="006A129F" w:rsidRPr="000E611F" w:rsidRDefault="006A129F" w:rsidP="006A129F">
      <w:pPr>
        <w:numPr>
          <w:ilvl w:val="0"/>
          <w:numId w:val="8"/>
        </w:numPr>
        <w:spacing w:after="0"/>
        <w:jc w:val="both"/>
      </w:pPr>
      <w:r w:rsidRPr="000E611F">
        <w:t>Making direct or indirect threats.</w:t>
      </w:r>
    </w:p>
    <w:p w14:paraId="148B9B52" w14:textId="77777777" w:rsidR="006A129F" w:rsidRPr="000E611F" w:rsidRDefault="006A129F" w:rsidP="006A129F">
      <w:pPr>
        <w:numPr>
          <w:ilvl w:val="0"/>
          <w:numId w:val="8"/>
        </w:numPr>
        <w:spacing w:after="0"/>
        <w:jc w:val="both"/>
      </w:pPr>
      <w:r w:rsidRPr="000E611F">
        <w:t>Engaging in overtly aggressive or hostile conduct that causes others to experience legitimate fear for their safety and/or emotional distress.</w:t>
      </w:r>
    </w:p>
    <w:bookmarkEnd w:id="4"/>
    <w:p w14:paraId="4AD25D59" w14:textId="77777777" w:rsidR="006A129F" w:rsidRPr="000E611F" w:rsidRDefault="006A129F" w:rsidP="006A129F">
      <w:pPr>
        <w:numPr>
          <w:ilvl w:val="0"/>
          <w:numId w:val="8"/>
        </w:numPr>
        <w:spacing w:after="0"/>
        <w:jc w:val="both"/>
      </w:pPr>
      <w:r w:rsidRPr="000E611F">
        <w:t xml:space="preserve">Deliberately vandalizing property belonging to </w:t>
      </w:r>
      <w:r>
        <w:t>[</w:t>
      </w:r>
      <w:r w:rsidRPr="00296FA0">
        <w:rPr>
          <w:highlight w:val="yellow"/>
        </w:rPr>
        <w:t>PRACTICE NAME</w:t>
      </w:r>
      <w:r>
        <w:t>]</w:t>
      </w:r>
      <w:r w:rsidRPr="000E611F">
        <w:t xml:space="preserve"> or any </w:t>
      </w:r>
      <w:r>
        <w:t>Worker</w:t>
      </w:r>
      <w:r w:rsidRPr="000E611F">
        <w:t xml:space="preserve"> thereof.</w:t>
      </w:r>
    </w:p>
    <w:p w14:paraId="035400E5" w14:textId="77777777" w:rsidR="006A129F" w:rsidRPr="000E611F" w:rsidRDefault="006A129F" w:rsidP="006A129F">
      <w:pPr>
        <w:numPr>
          <w:ilvl w:val="0"/>
          <w:numId w:val="8"/>
        </w:numPr>
        <w:spacing w:after="0"/>
        <w:jc w:val="both"/>
      </w:pPr>
      <w:r w:rsidRPr="000E611F">
        <w:t>Bringing a weapon to work or being in possession of one while representing the Company in any way.</w:t>
      </w:r>
    </w:p>
    <w:p w14:paraId="48B2F156" w14:textId="77777777" w:rsidR="006A129F" w:rsidRDefault="006A129F" w:rsidP="006A129F">
      <w:pPr>
        <w:numPr>
          <w:ilvl w:val="0"/>
          <w:numId w:val="8"/>
        </w:numPr>
        <w:spacing w:after="0"/>
        <w:jc w:val="both"/>
      </w:pPr>
      <w:r w:rsidRPr="000E611F">
        <w:t xml:space="preserve">Behaving in any manner consistent with </w:t>
      </w:r>
      <w:r>
        <w:t xml:space="preserve">domestic </w:t>
      </w:r>
      <w:r w:rsidRPr="000E611F">
        <w:t>violence</w:t>
      </w:r>
      <w:r>
        <w:t>.</w:t>
      </w:r>
    </w:p>
    <w:p w14:paraId="13E1472A" w14:textId="77777777" w:rsidR="006A129F" w:rsidRPr="006D1A52" w:rsidRDefault="006A129F" w:rsidP="006A129F">
      <w:pPr>
        <w:spacing w:before="240"/>
        <w:jc w:val="both"/>
      </w:pPr>
      <w:r>
        <w:t>Accidental situations are not intended to be included in this definition of Workplace Violence.</w:t>
      </w:r>
    </w:p>
    <w:p w14:paraId="4473D559" w14:textId="77777777" w:rsidR="006A129F" w:rsidRPr="00832316" w:rsidRDefault="006A129F" w:rsidP="006A129F">
      <w:pPr>
        <w:pStyle w:val="Heading2"/>
        <w:jc w:val="both"/>
        <w:rPr>
          <w:rFonts w:ascii="Century Gothic" w:hAnsi="Century Gothic"/>
        </w:rPr>
      </w:pPr>
      <w:bookmarkStart w:id="8" w:name="_Toc129624138"/>
      <w:r w:rsidRPr="00832316">
        <w:rPr>
          <w:rFonts w:ascii="Century Gothic" w:hAnsi="Century Gothic"/>
        </w:rPr>
        <w:lastRenderedPageBreak/>
        <w:t>Scope of this Policy</w:t>
      </w:r>
      <w:bookmarkEnd w:id="8"/>
      <w:r w:rsidRPr="00832316">
        <w:rPr>
          <w:rFonts w:ascii="Century Gothic" w:hAnsi="Century Gothic"/>
        </w:rPr>
        <w:t xml:space="preserve"> </w:t>
      </w:r>
    </w:p>
    <w:p w14:paraId="2ACC8EED" w14:textId="77777777" w:rsidR="006A129F" w:rsidRPr="006D1A52" w:rsidRDefault="006A129F" w:rsidP="006A129F">
      <w:pPr>
        <w:jc w:val="both"/>
      </w:pPr>
      <w:r w:rsidRPr="006D1A52">
        <w:t xml:space="preserve">This policy is applicable to all Workers and applies to all situations where incidents of </w:t>
      </w:r>
      <w:r>
        <w:t xml:space="preserve">harassment or violence are faced </w:t>
      </w:r>
      <w:r w:rsidRPr="006D1A52">
        <w:t xml:space="preserve">by a Worker in the Workplace. </w:t>
      </w:r>
      <w:r>
        <w:t xml:space="preserve">To determine if an incident meets threshold of harassment, refer to </w:t>
      </w:r>
      <w:r w:rsidRPr="006D1A52">
        <w:t>the Government of Canada</w:t>
      </w:r>
      <w:r>
        <w:t xml:space="preserve"> guide,</w:t>
      </w:r>
      <w:hyperlink r:id="rId17" w:history="1">
        <w:r w:rsidRPr="006D1A52">
          <w:rPr>
            <w:rStyle w:val="Hyperlink"/>
          </w:rPr>
          <w:t xml:space="preserve"> “Is it Harassment? A Tool to Guide Employees”</w:t>
        </w:r>
      </w:hyperlink>
      <w:r w:rsidRPr="006D1A52">
        <w:t>.</w:t>
      </w:r>
    </w:p>
    <w:p w14:paraId="0493DA8A" w14:textId="77777777" w:rsidR="006A129F" w:rsidRPr="006D1A52" w:rsidRDefault="006A129F" w:rsidP="006A129F">
      <w:pPr>
        <w:jc w:val="both"/>
      </w:pPr>
      <w:r w:rsidRPr="006D1A52">
        <w:t>Although hospitals and birth centres are places midwives work, for the purposes of this policy, these workplaces are not included in this policy. For experiences of harassment</w:t>
      </w:r>
      <w:r>
        <w:t xml:space="preserve"> and violence</w:t>
      </w:r>
      <w:r w:rsidRPr="006D1A52">
        <w:t xml:space="preserve"> in a hospital or birth centre, Workers will comply with the policy and procedure of the hospital(s) and birth centre(s) where they hold privileges.</w:t>
      </w:r>
    </w:p>
    <w:p w14:paraId="37339BB4" w14:textId="77777777" w:rsidR="006A129F" w:rsidRDefault="006A129F" w:rsidP="006A129F">
      <w:pPr>
        <w:jc w:val="both"/>
      </w:pPr>
    </w:p>
    <w:p w14:paraId="51E90B60" w14:textId="77777777" w:rsidR="006A129F" w:rsidRPr="00832316" w:rsidRDefault="006A129F" w:rsidP="006A129F">
      <w:pPr>
        <w:pStyle w:val="Heading2"/>
        <w:jc w:val="both"/>
        <w:rPr>
          <w:rFonts w:ascii="Century Gothic" w:hAnsi="Century Gothic"/>
        </w:rPr>
      </w:pPr>
      <w:bookmarkStart w:id="9" w:name="_Toc129624139"/>
      <w:r w:rsidRPr="00832316">
        <w:rPr>
          <w:rFonts w:ascii="Century Gothic" w:hAnsi="Century Gothic"/>
        </w:rPr>
        <w:t>Purpose of this policy</w:t>
      </w:r>
      <w:bookmarkEnd w:id="9"/>
      <w:r w:rsidRPr="00832316">
        <w:rPr>
          <w:rFonts w:ascii="Century Gothic" w:hAnsi="Century Gothic"/>
        </w:rPr>
        <w:t xml:space="preserve"> </w:t>
      </w:r>
    </w:p>
    <w:p w14:paraId="74664A8C" w14:textId="77777777" w:rsidR="006A129F" w:rsidRPr="004978E1" w:rsidRDefault="006A129F" w:rsidP="006A129F">
      <w:pPr>
        <w:jc w:val="both"/>
      </w:pPr>
      <w:r w:rsidRPr="004978E1">
        <w:t xml:space="preserve">This policy includes action and value-based components intended to provide guidance to the </w:t>
      </w:r>
      <w:r>
        <w:t>P</w:t>
      </w:r>
      <w:r w:rsidRPr="004978E1">
        <w:t>artners of [</w:t>
      </w:r>
      <w:r w:rsidRPr="00832316">
        <w:rPr>
          <w:highlight w:val="yellow"/>
        </w:rPr>
        <w:t>PRACTICE NAME</w:t>
      </w:r>
      <w:r w:rsidRPr="004978E1">
        <w:t xml:space="preserve">] to take a proactive approach to </w:t>
      </w:r>
      <w:r>
        <w:t>address harassment and violence,</w:t>
      </w:r>
      <w:r w:rsidRPr="004978E1">
        <w:t xml:space="preserve"> including steps to ensure accountability. The purpose of this policy is to: </w:t>
      </w:r>
    </w:p>
    <w:p w14:paraId="1346D38D" w14:textId="77777777" w:rsidR="006A129F" w:rsidRPr="004978E1" w:rsidRDefault="006A129F" w:rsidP="006A129F">
      <w:pPr>
        <w:numPr>
          <w:ilvl w:val="0"/>
          <w:numId w:val="2"/>
        </w:numPr>
        <w:jc w:val="both"/>
      </w:pPr>
      <w:r w:rsidRPr="004978E1">
        <w:t xml:space="preserve">reinforce that </w:t>
      </w:r>
      <w:r>
        <w:t xml:space="preserve">harassment and violence </w:t>
      </w:r>
      <w:r w:rsidRPr="004978E1">
        <w:t>of any kind</w:t>
      </w:r>
      <w:r>
        <w:t>, including but not limited to racism, homophobia, Islamophobia, and harassment based on disability, are</w:t>
      </w:r>
      <w:r w:rsidRPr="004978E1">
        <w:t xml:space="preserve"> unacceptable and </w:t>
      </w:r>
      <w:r>
        <w:t xml:space="preserve">constitute behaviours that are unbecoming of the </w:t>
      </w:r>
      <w:r w:rsidRPr="004978E1">
        <w:t>Ontario midwifery profession.</w:t>
      </w:r>
      <w:r>
        <w:rPr>
          <w:rStyle w:val="FootnoteReference"/>
        </w:rPr>
        <w:footnoteReference w:id="11"/>
      </w:r>
      <w:r w:rsidRPr="004978E1" w:rsidDel="004F2D96">
        <w:rPr>
          <w:vertAlign w:val="superscript"/>
        </w:rPr>
        <w:t xml:space="preserve"> </w:t>
      </w:r>
    </w:p>
    <w:p w14:paraId="1F2E70E9" w14:textId="77777777" w:rsidR="006A129F" w:rsidRPr="004978E1" w:rsidRDefault="006A129F" w:rsidP="006A129F">
      <w:pPr>
        <w:numPr>
          <w:ilvl w:val="0"/>
          <w:numId w:val="2"/>
        </w:numPr>
        <w:jc w:val="both"/>
      </w:pPr>
      <w:r w:rsidRPr="004978E1">
        <w:t xml:space="preserve">ensure that all complaints of </w:t>
      </w:r>
      <w:r>
        <w:t xml:space="preserve">harassment and violence </w:t>
      </w:r>
      <w:r w:rsidRPr="004978E1">
        <w:t xml:space="preserve">are investigated in a timely manner using a decolonized, anti-racist, anti-oppressive and intersectional process. </w:t>
      </w:r>
    </w:p>
    <w:p w14:paraId="53AE6652" w14:textId="77777777" w:rsidR="006A129F" w:rsidRPr="004978E1" w:rsidRDefault="006A129F" w:rsidP="006A129F">
      <w:pPr>
        <w:numPr>
          <w:ilvl w:val="0"/>
          <w:numId w:val="2"/>
        </w:numPr>
        <w:jc w:val="both"/>
      </w:pPr>
      <w:r w:rsidRPr="004978E1">
        <w:t>support [</w:t>
      </w:r>
      <w:r w:rsidRPr="00832316">
        <w:rPr>
          <w:highlight w:val="yellow"/>
        </w:rPr>
        <w:t>PRACTICE NAME</w:t>
      </w:r>
      <w:r w:rsidRPr="004978E1">
        <w:t>]’s efforts to dismantle racist</w:t>
      </w:r>
      <w:r>
        <w:t xml:space="preserve"> and oppressive</w:t>
      </w:r>
      <w:r w:rsidRPr="004978E1">
        <w:t xml:space="preserve"> practices, processes and behaviours which may directly or indirectly impact quality of care, the wellbeing of Workers, and the various interpersonal and interprofessional relationships related to their work. </w:t>
      </w:r>
    </w:p>
    <w:p w14:paraId="64984329" w14:textId="77777777" w:rsidR="006A129F" w:rsidRPr="004978E1" w:rsidRDefault="006A129F" w:rsidP="006A129F">
      <w:pPr>
        <w:jc w:val="both"/>
      </w:pPr>
      <w:r w:rsidRPr="00BF4079">
        <w:t xml:space="preserve">For a thorough understanding of the values and principles that underpin this policy, please see </w:t>
      </w:r>
      <w:r w:rsidRPr="00BF4079">
        <w:rPr>
          <w:i/>
          <w:iCs/>
        </w:rPr>
        <w:t xml:space="preserve">Appendix </w:t>
      </w:r>
      <w:r w:rsidRPr="00832316">
        <w:rPr>
          <w:i/>
          <w:iCs/>
        </w:rPr>
        <w:t>1</w:t>
      </w:r>
      <w:r w:rsidRPr="00BF4079">
        <w:rPr>
          <w:i/>
          <w:iCs/>
        </w:rPr>
        <w:t>: Values and princi</w:t>
      </w:r>
      <w:r w:rsidRPr="004978E1">
        <w:rPr>
          <w:i/>
          <w:iCs/>
        </w:rPr>
        <w:t>ples underpinning [</w:t>
      </w:r>
      <w:r w:rsidRPr="00832316">
        <w:rPr>
          <w:i/>
          <w:iCs/>
          <w:highlight w:val="yellow"/>
        </w:rPr>
        <w:t>PRACTICE NAME</w:t>
      </w:r>
      <w:r w:rsidRPr="004978E1">
        <w:rPr>
          <w:i/>
          <w:iCs/>
        </w:rPr>
        <w:t xml:space="preserve">]’s </w:t>
      </w:r>
      <w:r>
        <w:rPr>
          <w:i/>
          <w:iCs/>
        </w:rPr>
        <w:t xml:space="preserve">Workplace Harassment and Violence </w:t>
      </w:r>
      <w:r w:rsidRPr="004978E1">
        <w:rPr>
          <w:i/>
          <w:iCs/>
        </w:rPr>
        <w:t>Policy.</w:t>
      </w:r>
      <w:r w:rsidRPr="004978E1">
        <w:t xml:space="preserve">  </w:t>
      </w:r>
    </w:p>
    <w:p w14:paraId="405560E6" w14:textId="77777777" w:rsidR="006A129F" w:rsidRDefault="006A129F" w:rsidP="006A129F">
      <w:pPr>
        <w:jc w:val="both"/>
      </w:pPr>
    </w:p>
    <w:p w14:paraId="26732BB3" w14:textId="77777777" w:rsidR="006A129F" w:rsidRPr="00832316" w:rsidRDefault="006A129F" w:rsidP="006A129F">
      <w:pPr>
        <w:pStyle w:val="Heading2"/>
        <w:jc w:val="both"/>
        <w:rPr>
          <w:rFonts w:ascii="Century Gothic" w:hAnsi="Century Gothic"/>
        </w:rPr>
      </w:pPr>
      <w:bookmarkStart w:id="10" w:name="_Toc129624140"/>
      <w:r w:rsidRPr="00832316">
        <w:rPr>
          <w:rFonts w:ascii="Century Gothic" w:hAnsi="Century Gothic"/>
        </w:rPr>
        <w:t>Reporting</w:t>
      </w:r>
      <w:bookmarkEnd w:id="10"/>
      <w:r w:rsidRPr="00832316">
        <w:rPr>
          <w:rFonts w:ascii="Century Gothic" w:hAnsi="Century Gothic"/>
        </w:rPr>
        <w:t xml:space="preserve"> </w:t>
      </w:r>
    </w:p>
    <w:p w14:paraId="2B604B32" w14:textId="77777777" w:rsidR="006A129F" w:rsidRDefault="006A129F" w:rsidP="006A129F">
      <w:pPr>
        <w:jc w:val="both"/>
      </w:pPr>
      <w:r>
        <w:t>Workers are encouraged to report any incidents of Workplace Harassment or incidents or concerns of Workplace Violence to the appropriate person as outlined in the Workplace Harassment Procedure and the Workplace Violence Procedure. All complaints or incidents will be investigated and dealt with in a fair, respectful, and timely manner according to the procedures therein.</w:t>
      </w:r>
    </w:p>
    <w:p w14:paraId="2831767C" w14:textId="77777777" w:rsidR="006A129F" w:rsidRDefault="006A129F" w:rsidP="006A129F">
      <w:pPr>
        <w:jc w:val="both"/>
      </w:pPr>
      <w:r>
        <w:t>T</w:t>
      </w:r>
      <w:r w:rsidRPr="002B1E8B">
        <w:t xml:space="preserve">he person conducting the investigation, whether internal or external to the </w:t>
      </w:r>
      <w:r>
        <w:t>W</w:t>
      </w:r>
      <w:r w:rsidRPr="002B1E8B">
        <w:t xml:space="preserve">orkplace, must not be directly involved in the incident or complaint, and must not be under the direct control of the </w:t>
      </w:r>
      <w:r>
        <w:t>respondent</w:t>
      </w:r>
      <w:r w:rsidRPr="002B1E8B">
        <w:t xml:space="preserve">. This person should have knowledge of how to </w:t>
      </w:r>
      <w:proofErr w:type="gramStart"/>
      <w:r w:rsidRPr="002B1E8B">
        <w:t>conduct an investigation</w:t>
      </w:r>
      <w:proofErr w:type="gramEnd"/>
      <w:r w:rsidRPr="002B1E8B">
        <w:t xml:space="preserve"> appropriate in the circumstances</w:t>
      </w:r>
      <w:r>
        <w:t>.</w:t>
      </w:r>
      <w:r>
        <w:rPr>
          <w:rStyle w:val="FootnoteReference"/>
        </w:rPr>
        <w:footnoteReference w:id="12"/>
      </w:r>
    </w:p>
    <w:p w14:paraId="0C9B4B2A" w14:textId="77777777" w:rsidR="006A129F" w:rsidRDefault="006A129F" w:rsidP="006A129F">
      <w:pPr>
        <w:jc w:val="both"/>
      </w:pPr>
      <w:r>
        <w:t xml:space="preserve">For example, if you think you </w:t>
      </w:r>
      <w:r w:rsidRPr="00CE606E">
        <w:t>are being harassed,</w:t>
      </w:r>
      <w:r>
        <w:t xml:space="preserve"> start keeping a written record of events. Write down:</w:t>
      </w:r>
    </w:p>
    <w:p w14:paraId="3C9F551D" w14:textId="77777777" w:rsidR="006A129F" w:rsidRDefault="006A129F" w:rsidP="006A129F">
      <w:pPr>
        <w:pStyle w:val="ListParagraph"/>
        <w:numPr>
          <w:ilvl w:val="0"/>
          <w:numId w:val="6"/>
        </w:numPr>
        <w:jc w:val="both"/>
      </w:pPr>
      <w:r>
        <w:lastRenderedPageBreak/>
        <w:t>what happened</w:t>
      </w:r>
    </w:p>
    <w:p w14:paraId="4790FE9E" w14:textId="77777777" w:rsidR="006A129F" w:rsidRDefault="006A129F" w:rsidP="006A129F">
      <w:pPr>
        <w:pStyle w:val="ListParagraph"/>
        <w:numPr>
          <w:ilvl w:val="0"/>
          <w:numId w:val="6"/>
        </w:numPr>
        <w:jc w:val="both"/>
      </w:pPr>
      <w:r>
        <w:t>when it happened</w:t>
      </w:r>
    </w:p>
    <w:p w14:paraId="2084DF5F" w14:textId="77777777" w:rsidR="006A129F" w:rsidRDefault="006A129F" w:rsidP="006A129F">
      <w:pPr>
        <w:pStyle w:val="ListParagraph"/>
        <w:numPr>
          <w:ilvl w:val="0"/>
          <w:numId w:val="6"/>
        </w:numPr>
        <w:jc w:val="both"/>
      </w:pPr>
      <w:r>
        <w:t>where it happened</w:t>
      </w:r>
    </w:p>
    <w:p w14:paraId="247A0F8A" w14:textId="77777777" w:rsidR="006A129F" w:rsidRDefault="006A129F" w:rsidP="006A129F">
      <w:pPr>
        <w:pStyle w:val="ListParagraph"/>
        <w:numPr>
          <w:ilvl w:val="0"/>
          <w:numId w:val="6"/>
        </w:numPr>
        <w:jc w:val="both"/>
      </w:pPr>
      <w:r>
        <w:t xml:space="preserve">what was said or done, and who said or did </w:t>
      </w:r>
      <w:proofErr w:type="gramStart"/>
      <w:r>
        <w:t>it</w:t>
      </w:r>
      <w:proofErr w:type="gramEnd"/>
    </w:p>
    <w:p w14:paraId="79B2D44E" w14:textId="77777777" w:rsidR="006A129F" w:rsidRDefault="006A129F" w:rsidP="006A129F">
      <w:pPr>
        <w:pStyle w:val="ListParagraph"/>
        <w:numPr>
          <w:ilvl w:val="0"/>
          <w:numId w:val="6"/>
        </w:numPr>
        <w:jc w:val="both"/>
      </w:pPr>
      <w:r>
        <w:t>who saw what happened, and</w:t>
      </w:r>
    </w:p>
    <w:p w14:paraId="5C87B6DC" w14:textId="77777777" w:rsidR="006A129F" w:rsidRDefault="006A129F" w:rsidP="006A129F">
      <w:pPr>
        <w:pStyle w:val="ListParagraph"/>
        <w:numPr>
          <w:ilvl w:val="0"/>
          <w:numId w:val="6"/>
        </w:numPr>
        <w:jc w:val="both"/>
      </w:pPr>
      <w:r>
        <w:t>what you did at that time</w:t>
      </w:r>
    </w:p>
    <w:p w14:paraId="5D7EFFF2" w14:textId="77777777" w:rsidR="006A129F" w:rsidRDefault="006A129F" w:rsidP="006A129F">
      <w:pPr>
        <w:jc w:val="both"/>
      </w:pPr>
      <w:r>
        <w:t>Include the names of anyone you spoke with, when you spoke with them, and what action if any, was taken to resolve the problem.</w:t>
      </w:r>
    </w:p>
    <w:p w14:paraId="6C2DC193" w14:textId="77777777" w:rsidR="006A129F" w:rsidRDefault="006A129F" w:rsidP="006A129F">
      <w:pPr>
        <w:jc w:val="both"/>
      </w:pPr>
      <w:r>
        <w:t xml:space="preserve">Where possible, you can make it clear to the person harassing you that their behaviour is unwelcome and that you want it to stop. However, a person does not have to object to the harassment at the time it happens for there to be a violation, or for the person to claim their rights under the Code. A person who is the target of harassment may be in a vulnerable situation and afraid to speak out. Practice Partners must maintain workplaces that are free from discrimination and harassment, </w:t>
      </w:r>
      <w:proofErr w:type="gramStart"/>
      <w:r>
        <w:t>whether or not</w:t>
      </w:r>
      <w:proofErr w:type="gramEnd"/>
      <w:r>
        <w:t xml:space="preserve"> anyone objects.</w:t>
      </w:r>
    </w:p>
    <w:p w14:paraId="32681C5D" w14:textId="77777777" w:rsidR="006A129F" w:rsidRPr="002B1E8B" w:rsidRDefault="006A129F" w:rsidP="006A129F">
      <w:pPr>
        <w:jc w:val="both"/>
      </w:pPr>
      <w:r>
        <w:rPr>
          <w:rFonts w:cs="Arial"/>
          <w:bCs/>
          <w:iCs/>
          <w:spacing w:val="-4"/>
        </w:rPr>
        <w:t>Complainants can ask for</w:t>
      </w:r>
      <w:r>
        <w:t xml:space="preserve"> a written response and should keep a copy of the complaint and response. These documents could be helpful later if the Complainant decides to take further action. Complainants may also have recourse under the Occupational Health and Safety Act. </w:t>
      </w:r>
    </w:p>
    <w:p w14:paraId="5F14EE48" w14:textId="77777777" w:rsidR="006A129F" w:rsidRDefault="006A129F" w:rsidP="006A129F">
      <w:pPr>
        <w:jc w:val="both"/>
      </w:pPr>
      <w:r w:rsidRPr="00B945C1">
        <w:t xml:space="preserve">Workers are expected to participate in an investigation when requested by the investigator. Where the complaint is </w:t>
      </w:r>
      <w:r w:rsidRPr="00B945C1">
        <w:rPr>
          <w:i/>
          <w:iCs/>
        </w:rPr>
        <w:t>not</w:t>
      </w:r>
      <w:r w:rsidRPr="00B945C1">
        <w:t xml:space="preserve"> of a vexatious nature (e.g., made under false pretence or with the intention to cause undue harm), Workers will not be penalized or disciplined for reporting an incident or for participating in an investigation.  </w:t>
      </w:r>
    </w:p>
    <w:p w14:paraId="41061979" w14:textId="77777777" w:rsidR="006A129F" w:rsidRDefault="006A129F" w:rsidP="006A129F">
      <w:pPr>
        <w:jc w:val="both"/>
      </w:pPr>
      <w:r w:rsidRPr="00832316">
        <w:rPr>
          <w:highlight w:val="yellow"/>
        </w:rPr>
        <w:t>[PRACTICE NAME]</w:t>
      </w:r>
      <w:r>
        <w:t xml:space="preserve"> Partners and all Workers are expected to adhere to this policy and will be held responsible by </w:t>
      </w:r>
      <w:r w:rsidRPr="00832316">
        <w:rPr>
          <w:highlight w:val="yellow"/>
        </w:rPr>
        <w:t>[PRACTICE NAME]</w:t>
      </w:r>
      <w:r>
        <w:t xml:space="preserve"> for not following it. </w:t>
      </w:r>
    </w:p>
    <w:p w14:paraId="220BFE37" w14:textId="77777777" w:rsidR="006A129F" w:rsidRDefault="006A129F" w:rsidP="006A129F">
      <w:pPr>
        <w:jc w:val="both"/>
      </w:pPr>
      <w:r w:rsidRPr="004C3586">
        <w:t xml:space="preserve">If a </w:t>
      </w:r>
      <w:r>
        <w:t xml:space="preserve">Worker </w:t>
      </w:r>
      <w:r w:rsidRPr="004C3586">
        <w:t>needs further assistance, they may contact the</w:t>
      </w:r>
      <w:r>
        <w:t xml:space="preserve"> Health and Safety Partner or Health and Safety Representative and/or </w:t>
      </w:r>
      <w:r w:rsidRPr="004C3586">
        <w:t xml:space="preserve">the </w:t>
      </w:r>
      <w:hyperlink r:id="rId18" w:history="1">
        <w:r w:rsidRPr="004C3586">
          <w:rPr>
            <w:rStyle w:val="Hyperlink"/>
          </w:rPr>
          <w:t>Human Rights Legal Support Centre</w:t>
        </w:r>
      </w:hyperlink>
      <w:r>
        <w:t xml:space="preserve">. Midwives may also contact the </w:t>
      </w:r>
      <w:hyperlink r:id="rId19" w:history="1">
        <w:r w:rsidRPr="004C3586">
          <w:rPr>
            <w:rStyle w:val="Hyperlink"/>
          </w:rPr>
          <w:t>AOM On Call service</w:t>
        </w:r>
      </w:hyperlink>
      <w:r>
        <w:t xml:space="preserve"> for risk management support;</w:t>
      </w:r>
      <w:r w:rsidRPr="004C3586">
        <w:t xml:space="preserve"> </w:t>
      </w:r>
      <w:r>
        <w:t xml:space="preserve">the AOM </w:t>
      </w:r>
      <w:hyperlink r:id="rId20" w:history="1">
        <w:r w:rsidRPr="00087464">
          <w:rPr>
            <w:rStyle w:val="Hyperlink"/>
          </w:rPr>
          <w:t xml:space="preserve">Health-Care Equity, Quality and Human Rights </w:t>
        </w:r>
        <w:r>
          <w:rPr>
            <w:rStyle w:val="Hyperlink"/>
          </w:rPr>
          <w:t xml:space="preserve">(HEQHR) </w:t>
        </w:r>
        <w:r w:rsidRPr="00087464">
          <w:rPr>
            <w:rStyle w:val="Hyperlink"/>
          </w:rPr>
          <w:t>department</w:t>
        </w:r>
      </w:hyperlink>
      <w:r>
        <w:rPr>
          <w:rStyle w:val="Hyperlink"/>
        </w:rPr>
        <w:t xml:space="preserve"> </w:t>
      </w:r>
      <w:r>
        <w:t xml:space="preserve">for complaints based on racial harassment or human rights-based discrimination; </w:t>
      </w:r>
      <w:r w:rsidRPr="004C3586">
        <w:t xml:space="preserve">the </w:t>
      </w:r>
      <w:hyperlink r:id="rId21" w:history="1">
        <w:r w:rsidRPr="004C3586">
          <w:rPr>
            <w:rStyle w:val="Hyperlink"/>
          </w:rPr>
          <w:t>AOM’s Legal Expense Insurance telephone service</w:t>
        </w:r>
      </w:hyperlink>
      <w:r>
        <w:rPr>
          <w:rStyle w:val="Hyperlink"/>
        </w:rPr>
        <w:t xml:space="preserve">; </w:t>
      </w:r>
      <w:r>
        <w:t>and/o</w:t>
      </w:r>
      <w:r w:rsidRPr="004C3586">
        <w:t>r</w:t>
      </w:r>
      <w:r>
        <w:t xml:space="preserve"> the</w:t>
      </w:r>
      <w:r w:rsidRPr="004C3586">
        <w:t xml:space="preserve"> </w:t>
      </w:r>
      <w:hyperlink r:id="rId22" w:history="1">
        <w:r w:rsidRPr="00D97F23">
          <w:rPr>
            <w:rStyle w:val="Hyperlink"/>
          </w:rPr>
          <w:t>Member &amp; Family Assistance Program</w:t>
        </w:r>
      </w:hyperlink>
      <w:r>
        <w:t xml:space="preserve"> (also known as the </w:t>
      </w:r>
      <w:r w:rsidRPr="004C3586">
        <w:t>employee assistance progra</w:t>
      </w:r>
      <w:r>
        <w:t xml:space="preserve">m). When contacting the HEQHR department, Indigenous midwives can request support from the Indigenous Midwifery department at the AOM.  </w:t>
      </w:r>
    </w:p>
    <w:p w14:paraId="412453DB" w14:textId="77777777" w:rsidR="006A129F" w:rsidRDefault="006A129F" w:rsidP="006A129F">
      <w:pPr>
        <w:jc w:val="both"/>
      </w:pPr>
      <w:r w:rsidRPr="705D96DA">
        <w:t xml:space="preserve">Midwifery students </w:t>
      </w:r>
      <w:r>
        <w:t xml:space="preserve">are encouraged to contact their respective </w:t>
      </w:r>
      <w:r w:rsidRPr="705D96DA">
        <w:t>Midwifery Education Program</w:t>
      </w:r>
      <w:r>
        <w:t xml:space="preserve">, </w:t>
      </w:r>
      <w:r w:rsidRPr="705D96DA">
        <w:t xml:space="preserve">Indigenous Midwifery </w:t>
      </w:r>
      <w:r>
        <w:t>Education</w:t>
      </w:r>
      <w:r w:rsidRPr="705D96DA">
        <w:t xml:space="preserve"> Program or </w:t>
      </w:r>
      <w:r>
        <w:t>their</w:t>
      </w:r>
      <w:r w:rsidRPr="705D96DA">
        <w:t xml:space="preserve"> midwifery training or bridging program </w:t>
      </w:r>
      <w:r>
        <w:t xml:space="preserve">for assistance. </w:t>
      </w:r>
    </w:p>
    <w:p w14:paraId="29B1C42A" w14:textId="77777777" w:rsidR="006A129F" w:rsidRDefault="006A129F" w:rsidP="006A129F">
      <w:pPr>
        <w:pStyle w:val="Heading2"/>
        <w:jc w:val="both"/>
        <w:rPr>
          <w:rFonts w:ascii="Century Gothic" w:hAnsi="Century Gothic"/>
        </w:rPr>
      </w:pPr>
      <w:bookmarkStart w:id="11" w:name="_Toc129624141"/>
      <w:r>
        <w:rPr>
          <w:rFonts w:ascii="Century Gothic" w:hAnsi="Century Gothic"/>
        </w:rPr>
        <w:t>Investigation</w:t>
      </w:r>
      <w:bookmarkEnd w:id="11"/>
    </w:p>
    <w:p w14:paraId="23BF3D4D" w14:textId="77777777" w:rsidR="006A129F" w:rsidRDefault="006A129F" w:rsidP="006A129F">
      <w:pPr>
        <w:jc w:val="both"/>
        <w:rPr>
          <w:rFonts w:cstheme="minorHAnsi"/>
        </w:rPr>
      </w:pPr>
      <w:r w:rsidRPr="004F2D96">
        <w:rPr>
          <w:rFonts w:cstheme="minorHAnsi"/>
        </w:rPr>
        <w:t xml:space="preserve">If </w:t>
      </w:r>
      <w:r>
        <w:rPr>
          <w:rFonts w:cstheme="minorHAnsi"/>
        </w:rPr>
        <w:t>an</w:t>
      </w:r>
      <w:r w:rsidRPr="004F2D96">
        <w:rPr>
          <w:rFonts w:cstheme="minorHAnsi"/>
        </w:rPr>
        <w:t xml:space="preserve"> allegation of Workplace Harassment involve</w:t>
      </w:r>
      <w:r>
        <w:rPr>
          <w:rFonts w:cstheme="minorHAnsi"/>
        </w:rPr>
        <w:t>s</w:t>
      </w:r>
      <w:r w:rsidRPr="004F2D96">
        <w:rPr>
          <w:rFonts w:cstheme="minorHAnsi"/>
        </w:rPr>
        <w:t xml:space="preserve"> </w:t>
      </w:r>
      <w:r w:rsidRPr="004F2D96">
        <w:rPr>
          <w:rFonts w:cstheme="minorHAnsi"/>
          <w:highlight w:val="yellow"/>
        </w:rPr>
        <w:t>[insert description/ titles of most senior positions at the practice group, such as “senior Partner”]</w:t>
      </w:r>
      <w:r w:rsidRPr="004F2D96">
        <w:rPr>
          <w:rFonts w:cstheme="minorHAnsi"/>
        </w:rPr>
        <w:t>, [</w:t>
      </w:r>
      <w:r w:rsidRPr="00832316">
        <w:rPr>
          <w:rFonts w:cstheme="minorHAnsi"/>
          <w:highlight w:val="yellow"/>
        </w:rPr>
        <w:t>PRACTICE NAME]</w:t>
      </w:r>
      <w:r w:rsidRPr="004F2D96">
        <w:rPr>
          <w:rFonts w:cstheme="minorHAnsi"/>
        </w:rPr>
        <w:t xml:space="preserve"> will refer the investigation to an external investigator to conduct an impartial investigation. The [</w:t>
      </w:r>
      <w:r w:rsidRPr="00832316">
        <w:rPr>
          <w:rFonts w:cstheme="minorHAnsi"/>
          <w:highlight w:val="yellow"/>
        </w:rPr>
        <w:t>PRACTICE NAME</w:t>
      </w:r>
      <w:r w:rsidRPr="004F2D96">
        <w:rPr>
          <w:rFonts w:cstheme="minorHAnsi"/>
        </w:rPr>
        <w:t xml:space="preserve">] will take the work necessary to ensure that the external </w:t>
      </w:r>
      <w:bookmarkStart w:id="12" w:name="_Hlk130558164"/>
      <w:r w:rsidRPr="004F2D96">
        <w:rPr>
          <w:rFonts w:cstheme="minorHAnsi"/>
        </w:rPr>
        <w:t xml:space="preserve">investigator has the experience and cultural sensitivity needed to investigate the specific form of harassment being alleged. </w:t>
      </w:r>
      <w:r>
        <w:rPr>
          <w:rFonts w:cstheme="minorHAnsi"/>
        </w:rPr>
        <w:t>For example, w</w:t>
      </w:r>
      <w:r w:rsidRPr="004F2D96">
        <w:rPr>
          <w:rFonts w:cstheme="minorHAnsi"/>
        </w:rPr>
        <w:t xml:space="preserve">here the </w:t>
      </w:r>
      <w:r>
        <w:rPr>
          <w:rFonts w:cstheme="minorHAnsi"/>
        </w:rPr>
        <w:t xml:space="preserve">allegation </w:t>
      </w:r>
      <w:r w:rsidRPr="004F2D96">
        <w:rPr>
          <w:rFonts w:cstheme="minorHAnsi"/>
        </w:rPr>
        <w:t xml:space="preserve">of harassment is related to </w:t>
      </w:r>
      <w:r>
        <w:rPr>
          <w:rFonts w:cstheme="minorHAnsi"/>
        </w:rPr>
        <w:t xml:space="preserve">citizenship, </w:t>
      </w:r>
      <w:r w:rsidRPr="004F2D96">
        <w:rPr>
          <w:rFonts w:cstheme="minorHAnsi"/>
        </w:rPr>
        <w:t>rac</w:t>
      </w:r>
      <w:r>
        <w:rPr>
          <w:rFonts w:cstheme="minorHAnsi"/>
        </w:rPr>
        <w:t>e, religion, creed or similar Protected Grounds</w:t>
      </w:r>
      <w:r w:rsidRPr="004F2D96">
        <w:rPr>
          <w:rFonts w:cstheme="minorHAnsi"/>
        </w:rPr>
        <w:t xml:space="preserve">, the investigator will apply an </w:t>
      </w:r>
      <w:r>
        <w:rPr>
          <w:rFonts w:cstheme="minorHAnsi"/>
        </w:rPr>
        <w:t xml:space="preserve">appropriate </w:t>
      </w:r>
      <w:r w:rsidRPr="004F2D96">
        <w:rPr>
          <w:rFonts w:cstheme="minorHAnsi"/>
        </w:rPr>
        <w:lastRenderedPageBreak/>
        <w:t xml:space="preserve">framework </w:t>
      </w:r>
      <w:r w:rsidRPr="00832316">
        <w:rPr>
          <w:rFonts w:cstheme="minorHAnsi"/>
        </w:rPr>
        <w:t>that encompasses intersecting oppressions that are relevant to the complaint throughout the investigation process.</w:t>
      </w:r>
      <w:r w:rsidRPr="00832316">
        <w:rPr>
          <w:rStyle w:val="FootnoteReference"/>
          <w:rFonts w:cstheme="minorHAnsi"/>
        </w:rPr>
        <w:footnoteReference w:id="13"/>
      </w:r>
      <w:r w:rsidRPr="004F2D96">
        <w:rPr>
          <w:rFonts w:cstheme="minorHAnsi"/>
        </w:rPr>
        <w:t>,</w:t>
      </w:r>
      <w:r w:rsidRPr="004F2D96">
        <w:rPr>
          <w:rStyle w:val="FootnoteReference"/>
          <w:rFonts w:cstheme="minorHAnsi"/>
        </w:rPr>
        <w:footnoteReference w:id="14"/>
      </w:r>
      <w:r w:rsidRPr="004F2D96">
        <w:rPr>
          <w:rFonts w:cstheme="minorHAnsi"/>
        </w:rPr>
        <w:t xml:space="preserve"> This includes, having the expertise to investigate the specific type of</w:t>
      </w:r>
      <w:r>
        <w:rPr>
          <w:rFonts w:cstheme="minorHAnsi"/>
        </w:rPr>
        <w:t xml:space="preserve"> discrimination or harassment.</w:t>
      </w:r>
    </w:p>
    <w:bookmarkEnd w:id="12"/>
    <w:p w14:paraId="7A9F75BB" w14:textId="77777777" w:rsidR="006A129F" w:rsidRPr="004F2D96" w:rsidRDefault="006A129F" w:rsidP="006A129F">
      <w:pPr>
        <w:jc w:val="both"/>
        <w:rPr>
          <w:rFonts w:cstheme="minorHAnsi"/>
        </w:rPr>
      </w:pPr>
      <w:r w:rsidRPr="004F2D96">
        <w:rPr>
          <w:rFonts w:cstheme="minorHAnsi"/>
        </w:rPr>
        <w:t>The investigation must be completed in a timely manner and generally within 90 days or less unless there are extenuating circumstances (e.g., illness, complex investigation) warranting a longer investigation.</w:t>
      </w:r>
    </w:p>
    <w:p w14:paraId="52748111" w14:textId="77777777" w:rsidR="006A129F" w:rsidRPr="005B4B9F" w:rsidRDefault="006A129F" w:rsidP="006A129F"/>
    <w:p w14:paraId="5A884603" w14:textId="77777777" w:rsidR="006A129F" w:rsidRPr="005A3E81" w:rsidRDefault="006A129F" w:rsidP="006A129F">
      <w:pPr>
        <w:pStyle w:val="Heading2"/>
        <w:jc w:val="both"/>
        <w:rPr>
          <w:rFonts w:ascii="Century Gothic" w:hAnsi="Century Gothic"/>
        </w:rPr>
      </w:pPr>
      <w:bookmarkStart w:id="13" w:name="_Toc129624142"/>
      <w:r w:rsidRPr="005A3E81">
        <w:rPr>
          <w:rFonts w:ascii="Century Gothic" w:hAnsi="Century Gothic"/>
        </w:rPr>
        <w:t>Confidentiality:</w:t>
      </w:r>
      <w:bookmarkEnd w:id="13"/>
    </w:p>
    <w:p w14:paraId="38F2BCF4" w14:textId="77777777" w:rsidR="006A129F" w:rsidRPr="004F2D96" w:rsidRDefault="006A129F" w:rsidP="006A129F">
      <w:pPr>
        <w:jc w:val="both"/>
        <w:rPr>
          <w:rFonts w:cstheme="minorHAnsi"/>
        </w:rPr>
      </w:pPr>
      <w:r w:rsidRPr="004F2D96">
        <w:rPr>
          <w:rFonts w:cstheme="minorHAnsi"/>
        </w:rPr>
        <w:t>All incidents or complaints of Workplace Harassment shall be kept confidential except to the extent necessary to protect Workers, to investigate the complaint or incident, to take corrective action or otherwise as required by law.</w:t>
      </w:r>
    </w:p>
    <w:p w14:paraId="5347AAA4" w14:textId="77777777" w:rsidR="006A129F" w:rsidRDefault="006A129F" w:rsidP="006A129F">
      <w:pPr>
        <w:jc w:val="both"/>
      </w:pPr>
      <w:r>
        <w:br w:type="page"/>
      </w:r>
    </w:p>
    <w:p w14:paraId="7F6A32C9" w14:textId="77777777" w:rsidR="006A129F" w:rsidRDefault="006A129F" w:rsidP="006A129F">
      <w:pPr>
        <w:pStyle w:val="Heading2"/>
        <w:jc w:val="both"/>
      </w:pPr>
      <w:bookmarkStart w:id="14" w:name="_Toc129624143"/>
      <w:r>
        <w:lastRenderedPageBreak/>
        <w:t>Appendix 1: Values and principles underpinning [</w:t>
      </w:r>
      <w:r w:rsidRPr="0016625D">
        <w:rPr>
          <w:highlight w:val="yellow"/>
        </w:rPr>
        <w:t>PRACTICE NAME</w:t>
      </w:r>
      <w:r>
        <w:t>]’s Workplace Harassment and Violence Policy</w:t>
      </w:r>
      <w:bookmarkEnd w:id="14"/>
    </w:p>
    <w:p w14:paraId="282B47BA" w14:textId="77777777" w:rsidR="006A129F" w:rsidRPr="00E9133D" w:rsidRDefault="006A129F" w:rsidP="006A129F"/>
    <w:p w14:paraId="1F6B640B" w14:textId="77777777" w:rsidR="006A129F" w:rsidRDefault="006A129F" w:rsidP="006A129F">
      <w:pPr>
        <w:pStyle w:val="Heading3"/>
        <w:jc w:val="both"/>
      </w:pPr>
      <w:bookmarkStart w:id="15" w:name="_Toc129624144"/>
      <w:r>
        <w:t>Values</w:t>
      </w:r>
      <w:bookmarkEnd w:id="15"/>
    </w:p>
    <w:p w14:paraId="75E9B9AF" w14:textId="77777777" w:rsidR="006A129F" w:rsidRDefault="006A129F" w:rsidP="006A129F">
      <w:pPr>
        <w:jc w:val="both"/>
      </w:pPr>
      <w:r>
        <w:t xml:space="preserve">At </w:t>
      </w:r>
      <w:r w:rsidRPr="0DE7B32E">
        <w:rPr>
          <w:highlight w:val="yellow"/>
        </w:rPr>
        <w:t>[PRACTICE NAME]</w:t>
      </w:r>
      <w:r>
        <w:t>:</w:t>
      </w:r>
    </w:p>
    <w:p w14:paraId="2285578D" w14:textId="77777777" w:rsidR="006A129F" w:rsidRDefault="006A129F" w:rsidP="006A129F">
      <w:pPr>
        <w:jc w:val="both"/>
      </w:pPr>
      <w:r>
        <w:t xml:space="preserve">We believe that all Workers of </w:t>
      </w:r>
      <w:r w:rsidRPr="00910382">
        <w:rPr>
          <w:highlight w:val="yellow"/>
        </w:rPr>
        <w:t>[PRACTICE NAME]</w:t>
      </w:r>
      <w:r>
        <w:t xml:space="preserve"> have a vital role to play in dismantling all forms of human rights-based discrimination that manifest at both the individual and systemic level in the healthcare system and beyond. </w:t>
      </w:r>
    </w:p>
    <w:p w14:paraId="707C8221" w14:textId="77777777" w:rsidR="006A129F" w:rsidRDefault="006A129F" w:rsidP="006A129F">
      <w:pPr>
        <w:pStyle w:val="ListParagraph"/>
        <w:numPr>
          <w:ilvl w:val="0"/>
          <w:numId w:val="4"/>
        </w:numPr>
        <w:spacing w:after="0" w:line="240" w:lineRule="auto"/>
        <w:jc w:val="both"/>
      </w:pPr>
      <w:r>
        <w:t>We believe in upholding decolonized processes that protect and promote Indigenous sovereignty.</w:t>
      </w:r>
    </w:p>
    <w:p w14:paraId="739917E2" w14:textId="77777777" w:rsidR="006A129F" w:rsidRDefault="006A129F" w:rsidP="006A129F">
      <w:pPr>
        <w:pStyle w:val="ListParagraph"/>
        <w:numPr>
          <w:ilvl w:val="0"/>
          <w:numId w:val="4"/>
        </w:numPr>
        <w:spacing w:after="0" w:line="240" w:lineRule="auto"/>
        <w:jc w:val="both"/>
      </w:pPr>
      <w:r>
        <w:t xml:space="preserve">We affirm that all Workers are equal and have the right to work in a safe and respectful environment where they can fully participate and thrive. </w:t>
      </w:r>
    </w:p>
    <w:p w14:paraId="53362885" w14:textId="77777777" w:rsidR="006A129F" w:rsidRDefault="006A129F" w:rsidP="006A129F">
      <w:pPr>
        <w:pStyle w:val="ListParagraph"/>
        <w:numPr>
          <w:ilvl w:val="0"/>
          <w:numId w:val="4"/>
        </w:numPr>
        <w:spacing w:after="0" w:line="240" w:lineRule="auto"/>
        <w:jc w:val="both"/>
      </w:pPr>
      <w:r>
        <w:t xml:space="preserve">We understand the immense benefits a racially diverse, equitable and inclusive environment brings to Workers, clients and the community at large. </w:t>
      </w:r>
    </w:p>
    <w:p w14:paraId="5FBD540D" w14:textId="77777777" w:rsidR="006A129F" w:rsidRPr="00BB7954" w:rsidRDefault="006A129F" w:rsidP="006A129F">
      <w:pPr>
        <w:jc w:val="both"/>
        <w:rPr>
          <w:b/>
          <w:bCs/>
          <w:u w:val="single"/>
        </w:rPr>
      </w:pPr>
    </w:p>
    <w:p w14:paraId="7D4E597A" w14:textId="77777777" w:rsidR="006A129F" w:rsidRDefault="006A129F" w:rsidP="006A129F">
      <w:pPr>
        <w:pStyle w:val="Heading3"/>
        <w:jc w:val="both"/>
      </w:pPr>
      <w:bookmarkStart w:id="16" w:name="_Toc129624145"/>
      <w:r>
        <w:t>Principles</w:t>
      </w:r>
      <w:bookmarkEnd w:id="16"/>
    </w:p>
    <w:p w14:paraId="41CB8698" w14:textId="77777777" w:rsidR="006A129F" w:rsidRDefault="006A129F" w:rsidP="006A129F">
      <w:pPr>
        <w:jc w:val="both"/>
      </w:pPr>
      <w:r>
        <w:t xml:space="preserve">It is imperative that all Workers of </w:t>
      </w:r>
      <w:r w:rsidRPr="00945E15">
        <w:rPr>
          <w:highlight w:val="yellow"/>
        </w:rPr>
        <w:t>[PRACTICE NAME]</w:t>
      </w:r>
      <w:r>
        <w:t xml:space="preserve"> take the necessary steps to combat all forms of human rights-based discrimination or harassment and maintain a practice environment and culture that is safe and respectful. This includes:</w:t>
      </w:r>
    </w:p>
    <w:p w14:paraId="37F75700" w14:textId="77777777" w:rsidR="006A129F" w:rsidRDefault="006A129F" w:rsidP="006A129F">
      <w:pPr>
        <w:pStyle w:val="ListParagraph"/>
        <w:numPr>
          <w:ilvl w:val="0"/>
          <w:numId w:val="3"/>
        </w:numPr>
        <w:spacing w:after="0" w:line="240" w:lineRule="auto"/>
        <w:jc w:val="both"/>
      </w:pPr>
      <w:r>
        <w:t>Taking accountability for any role one plays in contributing to an unsafe, inequitable or discriminatory work environment.</w:t>
      </w:r>
    </w:p>
    <w:p w14:paraId="26D1766A" w14:textId="77777777" w:rsidR="006A129F" w:rsidRDefault="006A129F" w:rsidP="006A129F">
      <w:pPr>
        <w:pStyle w:val="ListParagraph"/>
        <w:numPr>
          <w:ilvl w:val="0"/>
          <w:numId w:val="3"/>
        </w:numPr>
        <w:spacing w:after="0" w:line="240" w:lineRule="auto"/>
        <w:jc w:val="both"/>
      </w:pPr>
      <w:r>
        <w:t xml:space="preserve">Holding colleagues, accountable for any exhibited forms of racism, homophobia, ableism, Islamophobia or other forms of discrimination against Protected Grounds.  </w:t>
      </w:r>
    </w:p>
    <w:p w14:paraId="4CB88B10" w14:textId="77777777" w:rsidR="006A129F" w:rsidRDefault="006A129F" w:rsidP="006A129F">
      <w:pPr>
        <w:pStyle w:val="ListParagraph"/>
        <w:numPr>
          <w:ilvl w:val="0"/>
          <w:numId w:val="3"/>
        </w:numPr>
        <w:spacing w:after="0" w:line="240" w:lineRule="auto"/>
        <w:jc w:val="both"/>
      </w:pPr>
      <w:r>
        <w:t>Recognizing that in keeping with Indigenous sovereignty, that distinct and Indigenous-informed approaches to creating culturally safe Workplace environments may be necessary.</w:t>
      </w:r>
    </w:p>
    <w:p w14:paraId="5EBBB463" w14:textId="77777777" w:rsidR="006A129F" w:rsidRDefault="006A129F" w:rsidP="006A129F">
      <w:pPr>
        <w:pStyle w:val="ListParagraph"/>
        <w:numPr>
          <w:ilvl w:val="0"/>
          <w:numId w:val="3"/>
        </w:numPr>
        <w:spacing w:after="0" w:line="240" w:lineRule="auto"/>
        <w:jc w:val="both"/>
      </w:pPr>
      <w:r>
        <w:t xml:space="preserve">Taking a culturally respectful, anti-racist, anti-oppressive, proactive, systematic and transparent approach to addressing complaints. </w:t>
      </w:r>
    </w:p>
    <w:p w14:paraId="6204100E" w14:textId="77777777" w:rsidR="006A129F" w:rsidRPr="008475D6" w:rsidRDefault="006A129F" w:rsidP="006A129F">
      <w:pPr>
        <w:pStyle w:val="ListParagraph"/>
        <w:numPr>
          <w:ilvl w:val="0"/>
          <w:numId w:val="3"/>
        </w:numPr>
        <w:spacing w:after="0" w:line="240" w:lineRule="auto"/>
        <w:jc w:val="both"/>
      </w:pPr>
      <w:r>
        <w:t>Using evidence-based decision-making, which includes data and/or accounts of people’s lived experiences to gather information.</w:t>
      </w:r>
    </w:p>
    <w:p w14:paraId="50E8DDF9" w14:textId="77777777" w:rsidR="006A129F" w:rsidRDefault="006A129F" w:rsidP="006A129F">
      <w:pPr>
        <w:pStyle w:val="ListParagraph"/>
        <w:numPr>
          <w:ilvl w:val="0"/>
          <w:numId w:val="3"/>
        </w:numPr>
        <w:spacing w:after="0" w:line="240" w:lineRule="auto"/>
        <w:jc w:val="both"/>
      </w:pPr>
      <w:r>
        <w:t xml:space="preserve">Exhibiting integrity in dealing with and investigating complaints made on the grounds of racism and discrimination on Protected Grounds. </w:t>
      </w:r>
    </w:p>
    <w:p w14:paraId="10988116" w14:textId="77777777" w:rsidR="006A129F" w:rsidRDefault="006A129F" w:rsidP="006A129F">
      <w:pPr>
        <w:pStyle w:val="ListParagraph"/>
        <w:numPr>
          <w:ilvl w:val="0"/>
          <w:numId w:val="3"/>
        </w:numPr>
        <w:spacing w:after="0" w:line="240" w:lineRule="auto"/>
        <w:jc w:val="both"/>
      </w:pPr>
      <w:r>
        <w:t xml:space="preserve">Accessing knowledge and training within </w:t>
      </w:r>
      <w:r w:rsidRPr="00945E15">
        <w:rPr>
          <w:highlight w:val="yellow"/>
        </w:rPr>
        <w:t>[PRACTICE NAME]</w:t>
      </w:r>
      <w:r>
        <w:t xml:space="preserve"> to build on racial justice and human rights competencies.</w:t>
      </w:r>
    </w:p>
    <w:p w14:paraId="459CE47C" w14:textId="77777777" w:rsidR="006A129F" w:rsidRDefault="006A129F" w:rsidP="006A129F">
      <w:pPr>
        <w:pStyle w:val="ListParagraph"/>
        <w:numPr>
          <w:ilvl w:val="0"/>
          <w:numId w:val="3"/>
        </w:numPr>
        <w:spacing w:after="0" w:line="240" w:lineRule="auto"/>
        <w:jc w:val="both"/>
      </w:pPr>
      <w:r>
        <w:t xml:space="preserve">Valuing diversity which integrates respect and acceptance with the premise that individuals are unique and so are their experiences and articulation and expression of those experiences. </w:t>
      </w:r>
    </w:p>
    <w:p w14:paraId="2EF64B6E" w14:textId="77777777" w:rsidR="006A129F" w:rsidRDefault="006A129F" w:rsidP="006A129F">
      <w:pPr>
        <w:pStyle w:val="ListParagraph"/>
        <w:numPr>
          <w:ilvl w:val="0"/>
          <w:numId w:val="3"/>
        </w:numPr>
        <w:spacing w:after="0" w:line="240" w:lineRule="auto"/>
        <w:jc w:val="both"/>
      </w:pPr>
      <w:r>
        <w:t>Recognizing the ways in which intersectionality plays a role in shaping people’s lives as they navigate the world with multiple and overlapping identities.</w:t>
      </w:r>
    </w:p>
    <w:p w14:paraId="1B900B4B" w14:textId="39B88165" w:rsidR="006A129F" w:rsidRPr="008876FF" w:rsidRDefault="006A129F" w:rsidP="006A129F">
      <w:r>
        <w:t>Continually monitoring and evaluating progress, and challenging and dismantling human rights-based discrimination within [</w:t>
      </w:r>
      <w:r w:rsidRPr="00910382">
        <w:rPr>
          <w:highlight w:val="yellow"/>
        </w:rPr>
        <w:t xml:space="preserve">PRACTICE </w:t>
      </w:r>
      <w:r w:rsidRPr="00E361CF">
        <w:rPr>
          <w:highlight w:val="yellow"/>
        </w:rPr>
        <w:t>NAM</w:t>
      </w:r>
      <w:r w:rsidRPr="00832316">
        <w:rPr>
          <w:highlight w:val="yellow"/>
        </w:rPr>
        <w:t>E</w:t>
      </w:r>
      <w:r>
        <w:t>]</w:t>
      </w:r>
    </w:p>
    <w:sectPr w:rsidR="006A129F" w:rsidRPr="008876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14F91B61" w14:textId="77777777" w:rsidR="006A129F" w:rsidRDefault="006A129F" w:rsidP="006A129F">
      <w:pPr>
        <w:pStyle w:val="CommentText"/>
      </w:pPr>
      <w:r>
        <w:rPr>
          <w:rStyle w:val="CommentReference"/>
        </w:rPr>
        <w:annotationRef/>
      </w:r>
      <w:r>
        <w:t>Note to PGs: Under the Occupational Health and Safety Act, all Ontario workplaces are required to prepare policies on workplace violence and harassment and to review those policies at least once per year. In workplaces of six or more workers, the policies must be in writing and posted in the workplace.</w:t>
      </w:r>
    </w:p>
    <w:p w14:paraId="339C1B4D" w14:textId="77777777" w:rsidR="006A129F" w:rsidRDefault="006A129F" w:rsidP="006A129F">
      <w:pPr>
        <w:pStyle w:val="CommentText"/>
      </w:pPr>
    </w:p>
    <w:p w14:paraId="06D02242" w14:textId="77777777" w:rsidR="006A129F" w:rsidRDefault="006A129F" w:rsidP="006A129F">
      <w:pPr>
        <w:pStyle w:val="CommentText"/>
      </w:pPr>
      <w:r>
        <w:t xml:space="preserve">This template policy is based on the </w:t>
      </w:r>
      <w:hyperlink r:id="rId1" w:history="1">
        <w:r w:rsidRPr="00B446F8">
          <w:rPr>
            <w:rStyle w:val="Hyperlink"/>
          </w:rPr>
          <w:t>Ontario Government’s Code of Practice to Address Workplace Harassment</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D022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02242" w16cid:durableId="2517C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8A9F" w14:textId="77777777" w:rsidR="00797010" w:rsidRDefault="00797010" w:rsidP="00797010">
      <w:pPr>
        <w:spacing w:after="0" w:line="240" w:lineRule="auto"/>
      </w:pPr>
      <w:r>
        <w:separator/>
      </w:r>
    </w:p>
  </w:endnote>
  <w:endnote w:type="continuationSeparator" w:id="0">
    <w:p w14:paraId="70441F3A" w14:textId="77777777" w:rsidR="00797010" w:rsidRDefault="00797010" w:rsidP="0079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14F1" w14:textId="77777777" w:rsidR="00797010" w:rsidRDefault="00797010" w:rsidP="00797010">
      <w:pPr>
        <w:spacing w:after="0" w:line="240" w:lineRule="auto"/>
      </w:pPr>
      <w:r>
        <w:separator/>
      </w:r>
    </w:p>
  </w:footnote>
  <w:footnote w:type="continuationSeparator" w:id="0">
    <w:p w14:paraId="694DF1B8" w14:textId="77777777" w:rsidR="00797010" w:rsidRDefault="00797010" w:rsidP="00797010">
      <w:pPr>
        <w:spacing w:after="0" w:line="240" w:lineRule="auto"/>
      </w:pPr>
      <w:r>
        <w:continuationSeparator/>
      </w:r>
    </w:p>
  </w:footnote>
  <w:footnote w:id="1">
    <w:p w14:paraId="7648CFA3" w14:textId="77777777" w:rsidR="006A129F" w:rsidRDefault="006A129F" w:rsidP="006A129F">
      <w:pPr>
        <w:pStyle w:val="FootnoteText"/>
      </w:pPr>
      <w:r>
        <w:rPr>
          <w:rStyle w:val="FootnoteReference"/>
        </w:rPr>
        <w:footnoteRef/>
      </w:r>
      <w:r>
        <w:t xml:space="preserve"> </w:t>
      </w:r>
      <w:r>
        <w:rPr>
          <w:rStyle w:val="cf01"/>
        </w:rPr>
        <w:t>(Ontario) Human Rights Code. R.S.O. 1990, c. H.19, s.5(2)</w:t>
      </w:r>
    </w:p>
  </w:footnote>
  <w:footnote w:id="2">
    <w:p w14:paraId="62529926" w14:textId="77777777" w:rsidR="006A129F" w:rsidRDefault="006A129F" w:rsidP="006A129F">
      <w:pPr>
        <w:pStyle w:val="FootnoteText"/>
      </w:pPr>
      <w:r>
        <w:rPr>
          <w:rStyle w:val="FootnoteReference"/>
        </w:rPr>
        <w:footnoteRef/>
      </w:r>
      <w:r>
        <w:t xml:space="preserve"> </w:t>
      </w:r>
      <w:r w:rsidRPr="00F57980">
        <w:t xml:space="preserve">Ontario Human Rights Commission. Racial harassment: know your rights (brochure) | Ontario Human Rights Commission [Internet]. [cited 2022 May 24]. Available from: </w:t>
      </w:r>
      <w:hyperlink r:id="rId1" w:history="1">
        <w:r w:rsidRPr="00420861">
          <w:rPr>
            <w:rStyle w:val="Hyperlink"/>
          </w:rPr>
          <w:t>https://www.ohrc.on.ca/en/racial-harassment-know-your-rights-brochure</w:t>
        </w:r>
      </w:hyperlink>
    </w:p>
  </w:footnote>
  <w:footnote w:id="3">
    <w:p w14:paraId="15CA273E" w14:textId="77777777" w:rsidR="006A129F" w:rsidRDefault="006A129F" w:rsidP="006A129F">
      <w:pPr>
        <w:pStyle w:val="FootnoteText"/>
      </w:pPr>
      <w:r>
        <w:rPr>
          <w:rStyle w:val="FootnoteReference"/>
        </w:rPr>
        <w:footnoteRef/>
      </w:r>
      <w:r>
        <w:rPr>
          <w:rStyle w:val="cf01"/>
        </w:rPr>
        <w:t>Employer duties regarding violence: Occupational Health and Safety Act. R.S.O. 1990 c.O.1, ss. 32.0.1-32.0.</w:t>
      </w:r>
    </w:p>
  </w:footnote>
  <w:footnote w:id="4">
    <w:p w14:paraId="0750203D" w14:textId="77777777" w:rsidR="006A129F" w:rsidRDefault="006A129F" w:rsidP="006A129F">
      <w:pPr>
        <w:pStyle w:val="FootnoteText"/>
      </w:pPr>
      <w:r>
        <w:rPr>
          <w:rStyle w:val="FootnoteReference"/>
        </w:rPr>
        <w:footnoteRef/>
      </w:r>
      <w:r>
        <w:t xml:space="preserve"> E</w:t>
      </w:r>
      <w:r>
        <w:rPr>
          <w:rStyle w:val="cf01"/>
        </w:rPr>
        <w:t>mployer duties regarding harassment: Occupational Health and Safety Act. R.S.O. 1990 c.O.1, s. 32.0.7</w:t>
      </w:r>
    </w:p>
  </w:footnote>
  <w:footnote w:id="5">
    <w:p w14:paraId="27F165CE" w14:textId="77777777" w:rsidR="006A129F" w:rsidRDefault="006A129F" w:rsidP="006A129F">
      <w:pPr>
        <w:pStyle w:val="FootnoteText"/>
      </w:pPr>
      <w:r>
        <w:rPr>
          <w:rStyle w:val="FootnoteReference"/>
        </w:rPr>
        <w:footnoteRef/>
      </w:r>
      <w:r>
        <w:t xml:space="preserve"> </w:t>
      </w:r>
      <w:r w:rsidRPr="006B34EF">
        <w:t>Occupational Health and Safety Act</w:t>
      </w:r>
      <w:r>
        <w:t xml:space="preserve">. </w:t>
      </w:r>
      <w:r>
        <w:rPr>
          <w:rStyle w:val="cf01"/>
        </w:rPr>
        <w:t>R.S.O. 1990 c.O.1. ss 8-9.</w:t>
      </w:r>
    </w:p>
  </w:footnote>
  <w:footnote w:id="6">
    <w:p w14:paraId="72DB58AA" w14:textId="77777777" w:rsidR="006A129F" w:rsidRPr="00543627" w:rsidRDefault="006A129F" w:rsidP="006A129F">
      <w:pPr>
        <w:rPr>
          <w:rFonts w:ascii="Century Gothic" w:hAnsi="Century Gothic"/>
          <w:sz w:val="18"/>
          <w:szCs w:val="18"/>
          <w:lang w:val="en" w:eastAsia="en-CA"/>
        </w:rPr>
      </w:pPr>
      <w:r w:rsidRPr="00543627">
        <w:rPr>
          <w:rStyle w:val="FootnoteReference"/>
          <w:rFonts w:ascii="Century Gothic" w:hAnsi="Century Gothic"/>
          <w:sz w:val="18"/>
          <w:szCs w:val="18"/>
        </w:rPr>
        <w:footnoteRef/>
      </w:r>
      <w:r w:rsidRPr="00543627">
        <w:rPr>
          <w:rFonts w:ascii="Century Gothic" w:hAnsi="Century Gothic"/>
          <w:sz w:val="18"/>
          <w:szCs w:val="18"/>
        </w:rPr>
        <w:t xml:space="preserve"> </w:t>
      </w:r>
      <w:r>
        <w:rPr>
          <w:rStyle w:val="cf01"/>
        </w:rPr>
        <w:t>(Ontario) Human Rights Code. R.S.O. 1990, c. H.19, s.10(1)</w:t>
      </w:r>
    </w:p>
  </w:footnote>
  <w:footnote w:id="7">
    <w:p w14:paraId="63E560E0" w14:textId="77777777" w:rsidR="006A129F" w:rsidRPr="0061566B" w:rsidRDefault="006A129F" w:rsidP="006A129F">
      <w:pPr>
        <w:pStyle w:val="Heading1"/>
        <w:pBdr>
          <w:bottom w:val="single" w:sz="6" w:space="2" w:color="AF3C43"/>
        </w:pBdr>
        <w:shd w:val="clear" w:color="auto" w:fill="F9F9F9"/>
        <w:rPr>
          <w:rFonts w:cs="Helvetica"/>
          <w:b w:val="0"/>
          <w:color w:val="333333"/>
          <w:sz w:val="18"/>
          <w:szCs w:val="18"/>
          <w:lang w:val="en-CA" w:eastAsia="en-CA"/>
        </w:rPr>
      </w:pPr>
      <w:r w:rsidRPr="008376D6">
        <w:rPr>
          <w:rStyle w:val="FootnoteReference"/>
          <w:sz w:val="18"/>
          <w:szCs w:val="18"/>
        </w:rPr>
        <w:footnoteRef/>
      </w:r>
      <w:r w:rsidRPr="008376D6">
        <w:rPr>
          <w:sz w:val="18"/>
          <w:szCs w:val="18"/>
        </w:rPr>
        <w:t xml:space="preserve"> </w:t>
      </w:r>
      <w:r w:rsidRPr="0061566B">
        <w:rPr>
          <w:rFonts w:cs="Helvetica"/>
          <w:b w:val="0"/>
          <w:color w:val="333333"/>
          <w:sz w:val="18"/>
          <w:szCs w:val="18"/>
        </w:rPr>
        <w:t xml:space="preserve">Is it Harassment? A Tool to Guide Employees, Treasury Board, Government of Canada, </w:t>
      </w:r>
    </w:p>
    <w:p w14:paraId="71C25999" w14:textId="77777777" w:rsidR="006A129F" w:rsidRPr="0061566B" w:rsidRDefault="006A129F" w:rsidP="006A129F">
      <w:pPr>
        <w:pStyle w:val="Heading1"/>
        <w:shd w:val="clear" w:color="auto" w:fill="FFFFFF"/>
        <w:rPr>
          <w:rFonts w:cs="Helvetica"/>
          <w:b w:val="0"/>
          <w:color w:val="4D4D4D"/>
          <w:sz w:val="18"/>
          <w:szCs w:val="18"/>
          <w:lang w:val="en-CA" w:eastAsia="en-CA"/>
        </w:rPr>
      </w:pPr>
      <w:r w:rsidRPr="0061566B">
        <w:rPr>
          <w:rStyle w:val="Hyperlink"/>
          <w:b w:val="0"/>
          <w:sz w:val="18"/>
          <w:szCs w:val="18"/>
        </w:rPr>
        <w:t xml:space="preserve"> </w:t>
      </w:r>
      <w:hyperlink r:id="rId2" w:history="1">
        <w:r w:rsidRPr="0061566B">
          <w:rPr>
            <w:rStyle w:val="Hyperlink"/>
            <w:b w:val="0"/>
            <w:sz w:val="18"/>
            <w:szCs w:val="18"/>
          </w:rPr>
          <w:t>https://www.canada.ca/en/treasury-board-secretariat/services/healthy-workplace/prevention-resolution-harassment/harassment-tool-employees.html</w:t>
        </w:r>
      </w:hyperlink>
      <w:r w:rsidRPr="0061566B">
        <w:rPr>
          <w:b w:val="0"/>
          <w:color w:val="000000"/>
          <w:sz w:val="18"/>
          <w:szCs w:val="18"/>
        </w:rPr>
        <w:t xml:space="preserve"> , Accessed July 2018 and </w:t>
      </w:r>
      <w:r w:rsidRPr="0061566B">
        <w:rPr>
          <w:rFonts w:cs="Helvetica"/>
          <w:b w:val="0"/>
          <w:color w:val="4D4D4D"/>
          <w:sz w:val="18"/>
          <w:szCs w:val="18"/>
        </w:rPr>
        <w:t xml:space="preserve">Understand the law on workplace violence and harassment, </w:t>
      </w:r>
      <w:r w:rsidRPr="0039572F">
        <w:rPr>
          <w:rFonts w:cs="Helvetica"/>
          <w:b w:val="0"/>
          <w:color w:val="4D4D4D"/>
          <w:sz w:val="18"/>
          <w:szCs w:val="18"/>
        </w:rPr>
        <w:t>Ministry of Labour</w:t>
      </w:r>
      <w:r>
        <w:rPr>
          <w:rFonts w:cs="Helvetica"/>
          <w:b w:val="0"/>
          <w:color w:val="4D4D4D"/>
          <w:sz w:val="18"/>
          <w:szCs w:val="18"/>
        </w:rPr>
        <w:t xml:space="preserve">, </w:t>
      </w:r>
      <w:r w:rsidRPr="0061566B">
        <w:rPr>
          <w:rFonts w:cs="Helvetica"/>
          <w:b w:val="0"/>
          <w:color w:val="4D4D4D"/>
          <w:sz w:val="18"/>
          <w:szCs w:val="18"/>
        </w:rPr>
        <w:t xml:space="preserve">Government of Ontario, </w:t>
      </w:r>
    </w:p>
    <w:p w14:paraId="47F435D2" w14:textId="77777777" w:rsidR="006A129F" w:rsidRPr="008376D6" w:rsidRDefault="00A36CA2" w:rsidP="006A129F">
      <w:pPr>
        <w:pStyle w:val="FootnoteText"/>
        <w:rPr>
          <w:rFonts w:ascii="Century Gothic" w:hAnsi="Century Gothic"/>
          <w:sz w:val="18"/>
          <w:szCs w:val="18"/>
        </w:rPr>
      </w:pPr>
      <w:hyperlink r:id="rId3" w:history="1">
        <w:r w:rsidR="006A129F" w:rsidRPr="0061566B">
          <w:rPr>
            <w:rStyle w:val="Hyperlink"/>
            <w:rFonts w:ascii="Century Gothic" w:hAnsi="Century Gothic"/>
            <w:sz w:val="18"/>
            <w:szCs w:val="18"/>
          </w:rPr>
          <w:t>https://www.ontario.ca/page/understand-law-workplace-violence-and-harassment</w:t>
        </w:r>
      </w:hyperlink>
      <w:r w:rsidR="006A129F" w:rsidRPr="0061566B">
        <w:rPr>
          <w:rStyle w:val="Hyperlink"/>
          <w:rFonts w:ascii="Century Gothic" w:hAnsi="Century Gothic"/>
          <w:sz w:val="18"/>
          <w:szCs w:val="18"/>
        </w:rPr>
        <w:t xml:space="preserve"> , Accessed July 2018. </w:t>
      </w:r>
    </w:p>
  </w:footnote>
  <w:footnote w:id="8">
    <w:p w14:paraId="7EC1A136" w14:textId="77777777" w:rsidR="006A129F" w:rsidRPr="00D345CB" w:rsidRDefault="006A129F" w:rsidP="006A129F">
      <w:pPr>
        <w:pStyle w:val="FootnoteText"/>
      </w:pPr>
      <w:r>
        <w:rPr>
          <w:rStyle w:val="FootnoteReference"/>
        </w:rPr>
        <w:footnoteRef/>
      </w:r>
      <w:r>
        <w:t xml:space="preserve"> </w:t>
      </w:r>
      <w:r w:rsidRPr="00317AC8">
        <w:rPr>
          <w:rFonts w:ascii="Century Gothic" w:hAnsi="Century Gothic" w:cs="Helvetica"/>
          <w:color w:val="333333"/>
          <w:sz w:val="18"/>
          <w:szCs w:val="18"/>
        </w:rPr>
        <w:t>Preventing and Resolving Harassment in the Workplace –</w:t>
      </w:r>
      <w:r>
        <w:rPr>
          <w:rFonts w:ascii="Century Gothic" w:hAnsi="Century Gothic" w:cs="Helvetica"/>
          <w:color w:val="333333"/>
          <w:sz w:val="18"/>
          <w:szCs w:val="18"/>
        </w:rPr>
        <w:t xml:space="preserve"> A Guide for Managers, Governme</w:t>
      </w:r>
      <w:r w:rsidRPr="00317AC8">
        <w:rPr>
          <w:rFonts w:ascii="Century Gothic" w:hAnsi="Century Gothic" w:cs="Helvetica"/>
          <w:color w:val="333333"/>
          <w:sz w:val="18"/>
          <w:szCs w:val="18"/>
        </w:rPr>
        <w:t>n</w:t>
      </w:r>
      <w:r>
        <w:rPr>
          <w:rFonts w:ascii="Century Gothic" w:hAnsi="Century Gothic" w:cs="Helvetica"/>
          <w:color w:val="333333"/>
          <w:sz w:val="18"/>
          <w:szCs w:val="18"/>
        </w:rPr>
        <w:t>t</w:t>
      </w:r>
      <w:r w:rsidRPr="00317AC8">
        <w:rPr>
          <w:rFonts w:ascii="Century Gothic" w:hAnsi="Century Gothic" w:cs="Helvetica"/>
          <w:color w:val="333333"/>
          <w:sz w:val="18"/>
          <w:szCs w:val="18"/>
        </w:rPr>
        <w:t xml:space="preserve"> of Canada, </w:t>
      </w:r>
      <w:r w:rsidRPr="00317AC8">
        <w:rPr>
          <w:rFonts w:ascii="Century Gothic" w:hAnsi="Century Gothic"/>
          <w:sz w:val="18"/>
          <w:szCs w:val="18"/>
        </w:rPr>
        <w:t xml:space="preserve"> </w:t>
      </w:r>
      <w:hyperlink r:id="rId4" w:history="1">
        <w:r w:rsidRPr="00317AC8">
          <w:rPr>
            <w:rStyle w:val="Hyperlink"/>
            <w:rFonts w:ascii="Century Gothic" w:hAnsi="Century Gothic"/>
            <w:sz w:val="18"/>
            <w:szCs w:val="18"/>
          </w:rPr>
          <w:t>https://www.canada.ca/en/treasury-board-secretariat/services/healthy-workplace/prevention-resolution-harassment/preventing-resolving-harassment-workplace-guide-manageers.html</w:t>
        </w:r>
      </w:hyperlink>
      <w:r w:rsidRPr="00317AC8">
        <w:rPr>
          <w:rFonts w:ascii="Century Gothic" w:hAnsi="Century Gothic"/>
          <w:sz w:val="18"/>
          <w:szCs w:val="18"/>
        </w:rPr>
        <w:t>, Accessed July 2018</w:t>
      </w:r>
      <w:r>
        <w:rPr>
          <w:rFonts w:ascii="Century Gothic" w:hAnsi="Century Gothic"/>
          <w:sz w:val="18"/>
          <w:szCs w:val="18"/>
        </w:rPr>
        <w:t>, p. 4.</w:t>
      </w:r>
    </w:p>
  </w:footnote>
  <w:footnote w:id="9">
    <w:p w14:paraId="65529258" w14:textId="77777777" w:rsidR="006A129F" w:rsidRDefault="006A129F" w:rsidP="006A129F">
      <w:pPr>
        <w:pStyle w:val="FootnoteText"/>
      </w:pPr>
      <w:r>
        <w:rPr>
          <w:rStyle w:val="FootnoteReference"/>
        </w:rPr>
        <w:footnoteRef/>
      </w:r>
      <w:r>
        <w:t xml:space="preserve"> </w:t>
      </w:r>
      <w:r>
        <w:rPr>
          <w:rStyle w:val="cf01"/>
        </w:rPr>
        <w:t>Adapted from: Occupational Health and Safety Act. R.S.O. 1990 c.O.1. s.1(5)(a)</w:t>
      </w:r>
    </w:p>
  </w:footnote>
  <w:footnote w:id="10">
    <w:p w14:paraId="2BC53261" w14:textId="77777777" w:rsidR="006A129F" w:rsidRPr="004F2EDE" w:rsidRDefault="006A129F" w:rsidP="006A129F">
      <w:pPr>
        <w:tabs>
          <w:tab w:val="left" w:pos="0"/>
        </w:tabs>
        <w:spacing w:after="0"/>
        <w:jc w:val="both"/>
        <w:rPr>
          <w:lang w:val="en-US"/>
        </w:rPr>
      </w:pPr>
      <w:r w:rsidRPr="004F2EDE">
        <w:rPr>
          <w:rStyle w:val="FootnoteReference"/>
          <w:rFonts w:cstheme="minorHAnsi"/>
          <w:sz w:val="20"/>
          <w:szCs w:val="20"/>
        </w:rPr>
        <w:footnoteRef/>
      </w:r>
      <w:r w:rsidRPr="004F2EDE">
        <w:rPr>
          <w:rFonts w:cstheme="minorHAnsi"/>
          <w:sz w:val="20"/>
          <w:szCs w:val="20"/>
        </w:rPr>
        <w:t xml:space="preserve"> </w:t>
      </w:r>
      <w:r w:rsidRPr="004F2EDE">
        <w:rPr>
          <w:rFonts w:cstheme="minorHAnsi"/>
          <w:sz w:val="20"/>
          <w:szCs w:val="20"/>
          <w:lang w:val="en"/>
        </w:rPr>
        <w:t xml:space="preserve">For more examples of how racism may manifest, please see the City of Toronto’s </w:t>
      </w:r>
      <w:hyperlink r:id="rId5" w:history="1">
        <w:r w:rsidRPr="004F2EDE">
          <w:rPr>
            <w:rStyle w:val="Hyperlink"/>
            <w:rFonts w:cstheme="minorHAnsi"/>
            <w:sz w:val="20"/>
            <w:szCs w:val="20"/>
            <w:lang w:val="en"/>
          </w:rPr>
          <w:t>“Racial Discrimination and Harassment Resource”</w:t>
        </w:r>
      </w:hyperlink>
      <w:r w:rsidRPr="004F2EDE">
        <w:rPr>
          <w:rFonts w:cstheme="minorHAnsi"/>
          <w:sz w:val="20"/>
          <w:szCs w:val="20"/>
          <w:lang w:val="en"/>
        </w:rPr>
        <w:t xml:space="preserve"> (</w:t>
      </w:r>
      <w:proofErr w:type="spellStart"/>
      <w:r>
        <w:rPr>
          <w:rFonts w:cstheme="minorHAnsi"/>
          <w:sz w:val="20"/>
          <w:szCs w:val="20"/>
          <w:lang w:val="en"/>
        </w:rPr>
        <w:t>pg</w:t>
      </w:r>
      <w:proofErr w:type="spellEnd"/>
      <w:r>
        <w:rPr>
          <w:rFonts w:cstheme="minorHAnsi"/>
          <w:sz w:val="20"/>
          <w:szCs w:val="20"/>
          <w:lang w:val="en"/>
        </w:rPr>
        <w:t xml:space="preserve"> 3.</w:t>
      </w:r>
      <w:r w:rsidRPr="004F2EDE">
        <w:rPr>
          <w:rFonts w:cstheme="minorHAnsi"/>
          <w:sz w:val="20"/>
          <w:szCs w:val="20"/>
          <w:lang w:val="en"/>
        </w:rPr>
        <w:t>)</w:t>
      </w:r>
      <w:r w:rsidRPr="004F2EDE">
        <w:rPr>
          <w:rFonts w:cstheme="minorHAnsi"/>
          <w:sz w:val="20"/>
          <w:szCs w:val="20"/>
        </w:rPr>
        <w:t xml:space="preserve"> and the Ontario Human Rights Commission </w:t>
      </w:r>
      <w:hyperlink r:id="rId6" w:history="1">
        <w:r w:rsidRPr="004F2EDE">
          <w:rPr>
            <w:rStyle w:val="Hyperlink"/>
            <w:rFonts w:cstheme="minorHAnsi"/>
            <w:sz w:val="20"/>
            <w:szCs w:val="20"/>
            <w:lang w:val="en"/>
          </w:rPr>
          <w:t>“Examples of Racial Discrimination (Fact Sheet)”.</w:t>
        </w:r>
      </w:hyperlink>
      <w:r>
        <w:rPr>
          <w:rStyle w:val="Hyperlink"/>
          <w:rFonts w:cstheme="minorHAnsi"/>
          <w:sz w:val="20"/>
          <w:szCs w:val="20"/>
          <w:lang w:val="en"/>
        </w:rPr>
        <w:t xml:space="preserve">  </w:t>
      </w:r>
    </w:p>
  </w:footnote>
  <w:footnote w:id="11">
    <w:p w14:paraId="472A891B" w14:textId="77777777" w:rsidR="006A129F" w:rsidRPr="000A57EC" w:rsidRDefault="006A129F" w:rsidP="006A129F">
      <w:pPr>
        <w:pStyle w:val="FootnoteText"/>
      </w:pPr>
      <w:r>
        <w:rPr>
          <w:rStyle w:val="FootnoteReference"/>
        </w:rPr>
        <w:footnoteRef/>
      </w:r>
      <w:r>
        <w:t xml:space="preserve"> College of Midwives of Ontario. </w:t>
      </w:r>
      <w:r w:rsidRPr="000A57EC">
        <w:rPr>
          <w:i/>
          <w:iCs/>
        </w:rPr>
        <w:t>Professional Misconduct Guide</w:t>
      </w:r>
      <w:r>
        <w:t>. 16 p.</w:t>
      </w:r>
    </w:p>
    <w:p w14:paraId="45DAB0CB" w14:textId="77777777" w:rsidR="006A129F" w:rsidRDefault="006A129F" w:rsidP="006A129F">
      <w:pPr>
        <w:pStyle w:val="FootnoteText"/>
      </w:pPr>
    </w:p>
  </w:footnote>
  <w:footnote w:id="12">
    <w:p w14:paraId="71BD295E" w14:textId="77777777" w:rsidR="006A129F" w:rsidRPr="002B1E8B" w:rsidRDefault="006A129F" w:rsidP="006A129F">
      <w:pPr>
        <w:pStyle w:val="FootnoteText"/>
      </w:pPr>
      <w:r>
        <w:rPr>
          <w:rStyle w:val="FootnoteReference"/>
        </w:rPr>
        <w:footnoteRef/>
      </w:r>
      <w:r>
        <w:t xml:space="preserve"> Ministry of Labour. </w:t>
      </w:r>
      <w:r w:rsidRPr="00F71730">
        <w:rPr>
          <w:i/>
          <w:iCs/>
          <w:lang w:val="en-US"/>
        </w:rPr>
        <w:t xml:space="preserve">Workplace </w:t>
      </w:r>
      <w:r w:rsidRPr="00F71730">
        <w:rPr>
          <w:i/>
          <w:iCs/>
        </w:rPr>
        <w:t>harassment: investigation by the employer</w:t>
      </w:r>
    </w:p>
    <w:p w14:paraId="00E90240" w14:textId="77777777" w:rsidR="006A129F" w:rsidRPr="002B1E8B" w:rsidRDefault="006A129F" w:rsidP="006A129F">
      <w:pPr>
        <w:pStyle w:val="FootnoteText"/>
        <w:rPr>
          <w:lang w:val="en-US"/>
        </w:rPr>
      </w:pPr>
      <w:r>
        <w:rPr>
          <w:lang w:val="en-US"/>
        </w:rPr>
        <w:t xml:space="preserve">  </w:t>
      </w:r>
      <w:hyperlink r:id="rId7" w:history="1">
        <w:r w:rsidRPr="00201C09">
          <w:rPr>
            <w:rStyle w:val="Hyperlink"/>
            <w:lang w:val="en-US"/>
          </w:rPr>
          <w:t>https://www.ontario.ca/page/workplace-harassment-investigation-employer</w:t>
        </w:r>
      </w:hyperlink>
      <w:r>
        <w:rPr>
          <w:lang w:val="en-US"/>
        </w:rPr>
        <w:t xml:space="preserve"> </w:t>
      </w:r>
    </w:p>
  </w:footnote>
  <w:footnote w:id="13">
    <w:p w14:paraId="0607F18C" w14:textId="77777777" w:rsidR="006A129F" w:rsidRPr="00832316" w:rsidRDefault="006A129F" w:rsidP="006A129F">
      <w:pPr>
        <w:pStyle w:val="FootnoteText"/>
        <w:rPr>
          <w:rFonts w:cstheme="minorHAnsi"/>
        </w:rPr>
      </w:pPr>
      <w:r w:rsidRPr="00832316">
        <w:rPr>
          <w:rStyle w:val="FootnoteReference"/>
          <w:rFonts w:cstheme="minorHAnsi"/>
        </w:rPr>
        <w:footnoteRef/>
      </w:r>
      <w:r w:rsidRPr="00832316">
        <w:rPr>
          <w:rFonts w:cstheme="minorHAnsi"/>
        </w:rPr>
        <w:t xml:space="preserve">  For a further illustration on the importance of utilizing anti-racist and anti-oppression frameworks for Workplace investigations, please see the following article: </w:t>
      </w:r>
      <w:hyperlink r:id="rId8" w:history="1">
        <w:r w:rsidRPr="00832316">
          <w:rPr>
            <w:rStyle w:val="Hyperlink"/>
            <w:rFonts w:cstheme="minorHAnsi"/>
          </w:rPr>
          <w:t>https://rubinthomlinson.com/put-on-your-lens-the-importance-of-having-a-critical-race-theory-crt-lens-when-conducting-a-race-based-workplace-investigation/</w:t>
        </w:r>
      </w:hyperlink>
    </w:p>
  </w:footnote>
  <w:footnote w:id="14">
    <w:p w14:paraId="79CA4659" w14:textId="77777777" w:rsidR="006A129F" w:rsidRPr="00832316" w:rsidRDefault="006A129F" w:rsidP="006A129F">
      <w:pPr>
        <w:pStyle w:val="FootnoteText"/>
        <w:rPr>
          <w:lang w:val="en-US"/>
        </w:rPr>
      </w:pPr>
      <w:r w:rsidRPr="004F2D96">
        <w:rPr>
          <w:rStyle w:val="FootnoteReference"/>
          <w:rFonts w:cstheme="minorHAnsi"/>
        </w:rPr>
        <w:footnoteRef/>
      </w:r>
      <w:r w:rsidRPr="004F2D96">
        <w:rPr>
          <w:rFonts w:cstheme="minorHAnsi"/>
        </w:rPr>
        <w:t xml:space="preserve"> </w:t>
      </w:r>
      <w:r w:rsidRPr="004F2D96">
        <w:rPr>
          <w:rFonts w:cstheme="minorHAnsi"/>
          <w:lang w:val="en-US"/>
        </w:rPr>
        <w:t>Contact</w:t>
      </w:r>
      <w:r w:rsidRPr="00832316">
        <w:rPr>
          <w:rFonts w:cstheme="minorHAnsi"/>
        </w:rPr>
        <w:t xml:space="preserve"> AOM’s </w:t>
      </w:r>
      <w:hyperlink r:id="rId9" w:history="1">
        <w:r w:rsidRPr="00832316">
          <w:rPr>
            <w:rStyle w:val="Hyperlink"/>
            <w:rFonts w:cstheme="minorHAnsi"/>
          </w:rPr>
          <w:t>HEQHR department</w:t>
        </w:r>
      </w:hyperlink>
      <w:r w:rsidRPr="00832316">
        <w:rPr>
          <w:rFonts w:cstheme="minorHAnsi"/>
        </w:rPr>
        <w:t xml:space="preserve"> for a referral list of investigators with expertise in investigating racial harassment.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5EB"/>
    <w:multiLevelType w:val="hybridMultilevel"/>
    <w:tmpl w:val="D4681E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AD17B4"/>
    <w:multiLevelType w:val="hybridMultilevel"/>
    <w:tmpl w:val="567651D4"/>
    <w:lvl w:ilvl="0" w:tplc="04090001">
      <w:start w:val="1"/>
      <w:numFmt w:val="bullet"/>
      <w:lvlText w:val=""/>
      <w:lvlJc w:val="left"/>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1296" w:hanging="360"/>
      </w:pPr>
      <w:rPr>
        <w:rFonts w:ascii="Wingdings" w:hAnsi="Wingdings" w:hint="default"/>
      </w:rPr>
    </w:lvl>
    <w:lvl w:ilvl="3" w:tplc="FFFFFFFF" w:tentative="1">
      <w:start w:val="1"/>
      <w:numFmt w:val="bullet"/>
      <w:lvlText w:val=""/>
      <w:lvlJc w:val="left"/>
      <w:pPr>
        <w:ind w:left="-576" w:hanging="360"/>
      </w:pPr>
      <w:rPr>
        <w:rFonts w:ascii="Symbol" w:hAnsi="Symbol" w:hint="default"/>
      </w:rPr>
    </w:lvl>
    <w:lvl w:ilvl="4" w:tplc="FFFFFFFF" w:tentative="1">
      <w:start w:val="1"/>
      <w:numFmt w:val="bullet"/>
      <w:lvlText w:val="o"/>
      <w:lvlJc w:val="left"/>
      <w:pPr>
        <w:ind w:left="144" w:hanging="360"/>
      </w:pPr>
      <w:rPr>
        <w:rFonts w:ascii="Courier New" w:hAnsi="Courier New" w:cs="Courier New" w:hint="default"/>
      </w:rPr>
    </w:lvl>
    <w:lvl w:ilvl="5" w:tplc="FFFFFFFF" w:tentative="1">
      <w:start w:val="1"/>
      <w:numFmt w:val="bullet"/>
      <w:lvlText w:val=""/>
      <w:lvlJc w:val="left"/>
      <w:pPr>
        <w:ind w:left="864" w:hanging="360"/>
      </w:pPr>
      <w:rPr>
        <w:rFonts w:ascii="Wingdings" w:hAnsi="Wingdings" w:hint="default"/>
      </w:rPr>
    </w:lvl>
    <w:lvl w:ilvl="6" w:tplc="FFFFFFFF" w:tentative="1">
      <w:start w:val="1"/>
      <w:numFmt w:val="bullet"/>
      <w:lvlText w:val=""/>
      <w:lvlJc w:val="left"/>
      <w:pPr>
        <w:ind w:left="1584" w:hanging="360"/>
      </w:pPr>
      <w:rPr>
        <w:rFonts w:ascii="Symbol" w:hAnsi="Symbol" w:hint="default"/>
      </w:rPr>
    </w:lvl>
    <w:lvl w:ilvl="7" w:tplc="FFFFFFFF" w:tentative="1">
      <w:start w:val="1"/>
      <w:numFmt w:val="bullet"/>
      <w:lvlText w:val="o"/>
      <w:lvlJc w:val="left"/>
      <w:pPr>
        <w:ind w:left="2304" w:hanging="360"/>
      </w:pPr>
      <w:rPr>
        <w:rFonts w:ascii="Courier New" w:hAnsi="Courier New" w:cs="Courier New" w:hint="default"/>
      </w:rPr>
    </w:lvl>
    <w:lvl w:ilvl="8" w:tplc="FFFFFFFF" w:tentative="1">
      <w:start w:val="1"/>
      <w:numFmt w:val="bullet"/>
      <w:lvlText w:val=""/>
      <w:lvlJc w:val="left"/>
      <w:pPr>
        <w:ind w:left="3024" w:hanging="360"/>
      </w:pPr>
      <w:rPr>
        <w:rFonts w:ascii="Wingdings" w:hAnsi="Wingdings" w:hint="default"/>
      </w:rPr>
    </w:lvl>
  </w:abstractNum>
  <w:abstractNum w:abstractNumId="2" w15:restartNumberingAfterBreak="0">
    <w:nsid w:val="15FB6E8D"/>
    <w:multiLevelType w:val="hybridMultilevel"/>
    <w:tmpl w:val="584A903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8D2F8C"/>
    <w:multiLevelType w:val="hybridMultilevel"/>
    <w:tmpl w:val="7184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F2CDB"/>
    <w:multiLevelType w:val="hybridMultilevel"/>
    <w:tmpl w:val="EDD21C96"/>
    <w:lvl w:ilvl="0" w:tplc="10090001">
      <w:start w:val="1"/>
      <w:numFmt w:val="bullet"/>
      <w:lvlText w:val=""/>
      <w:lvlJc w:val="left"/>
      <w:pPr>
        <w:ind w:left="504" w:hanging="360"/>
      </w:pPr>
      <w:rPr>
        <w:rFonts w:ascii="Symbol" w:hAnsi="Symbol" w:hint="default"/>
      </w:rPr>
    </w:lvl>
    <w:lvl w:ilvl="1" w:tplc="10090003" w:tentative="1">
      <w:start w:val="1"/>
      <w:numFmt w:val="bullet"/>
      <w:lvlText w:val="o"/>
      <w:lvlJc w:val="left"/>
      <w:pPr>
        <w:ind w:left="1224" w:hanging="360"/>
      </w:pPr>
      <w:rPr>
        <w:rFonts w:ascii="Courier New" w:hAnsi="Courier New" w:cs="Courier New" w:hint="default"/>
      </w:rPr>
    </w:lvl>
    <w:lvl w:ilvl="2" w:tplc="10090005" w:tentative="1">
      <w:start w:val="1"/>
      <w:numFmt w:val="bullet"/>
      <w:lvlText w:val=""/>
      <w:lvlJc w:val="left"/>
      <w:pPr>
        <w:ind w:left="1944" w:hanging="360"/>
      </w:pPr>
      <w:rPr>
        <w:rFonts w:ascii="Wingdings" w:hAnsi="Wingdings" w:hint="default"/>
      </w:rPr>
    </w:lvl>
    <w:lvl w:ilvl="3" w:tplc="10090001" w:tentative="1">
      <w:start w:val="1"/>
      <w:numFmt w:val="bullet"/>
      <w:lvlText w:val=""/>
      <w:lvlJc w:val="left"/>
      <w:pPr>
        <w:ind w:left="2664" w:hanging="360"/>
      </w:pPr>
      <w:rPr>
        <w:rFonts w:ascii="Symbol" w:hAnsi="Symbol" w:hint="default"/>
      </w:rPr>
    </w:lvl>
    <w:lvl w:ilvl="4" w:tplc="10090003" w:tentative="1">
      <w:start w:val="1"/>
      <w:numFmt w:val="bullet"/>
      <w:lvlText w:val="o"/>
      <w:lvlJc w:val="left"/>
      <w:pPr>
        <w:ind w:left="3384" w:hanging="360"/>
      </w:pPr>
      <w:rPr>
        <w:rFonts w:ascii="Courier New" w:hAnsi="Courier New" w:cs="Courier New" w:hint="default"/>
      </w:rPr>
    </w:lvl>
    <w:lvl w:ilvl="5" w:tplc="10090005" w:tentative="1">
      <w:start w:val="1"/>
      <w:numFmt w:val="bullet"/>
      <w:lvlText w:val=""/>
      <w:lvlJc w:val="left"/>
      <w:pPr>
        <w:ind w:left="4104" w:hanging="360"/>
      </w:pPr>
      <w:rPr>
        <w:rFonts w:ascii="Wingdings" w:hAnsi="Wingdings" w:hint="default"/>
      </w:rPr>
    </w:lvl>
    <w:lvl w:ilvl="6" w:tplc="10090001" w:tentative="1">
      <w:start w:val="1"/>
      <w:numFmt w:val="bullet"/>
      <w:lvlText w:val=""/>
      <w:lvlJc w:val="left"/>
      <w:pPr>
        <w:ind w:left="4824" w:hanging="360"/>
      </w:pPr>
      <w:rPr>
        <w:rFonts w:ascii="Symbol" w:hAnsi="Symbol" w:hint="default"/>
      </w:rPr>
    </w:lvl>
    <w:lvl w:ilvl="7" w:tplc="10090003" w:tentative="1">
      <w:start w:val="1"/>
      <w:numFmt w:val="bullet"/>
      <w:lvlText w:val="o"/>
      <w:lvlJc w:val="left"/>
      <w:pPr>
        <w:ind w:left="5544" w:hanging="360"/>
      </w:pPr>
      <w:rPr>
        <w:rFonts w:ascii="Courier New" w:hAnsi="Courier New" w:cs="Courier New" w:hint="default"/>
      </w:rPr>
    </w:lvl>
    <w:lvl w:ilvl="8" w:tplc="10090005" w:tentative="1">
      <w:start w:val="1"/>
      <w:numFmt w:val="bullet"/>
      <w:lvlText w:val=""/>
      <w:lvlJc w:val="left"/>
      <w:pPr>
        <w:ind w:left="6264" w:hanging="360"/>
      </w:pPr>
      <w:rPr>
        <w:rFonts w:ascii="Wingdings" w:hAnsi="Wingdings" w:hint="default"/>
      </w:rPr>
    </w:lvl>
  </w:abstractNum>
  <w:abstractNum w:abstractNumId="5" w15:restartNumberingAfterBreak="0">
    <w:nsid w:val="2A830D9F"/>
    <w:multiLevelType w:val="hybridMultilevel"/>
    <w:tmpl w:val="585292C0"/>
    <w:lvl w:ilvl="0" w:tplc="8CDA24F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9806B4"/>
    <w:multiLevelType w:val="hybridMultilevel"/>
    <w:tmpl w:val="A704B8AE"/>
    <w:lvl w:ilvl="0" w:tplc="1009001B">
      <w:start w:val="1"/>
      <w:numFmt w:val="lowerRoman"/>
      <w:lvlText w:val="%1."/>
      <w:lvlJc w:val="righ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DE3C70"/>
    <w:multiLevelType w:val="hybridMultilevel"/>
    <w:tmpl w:val="B112A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1E5F75"/>
    <w:multiLevelType w:val="hybridMultilevel"/>
    <w:tmpl w:val="CF627EF6"/>
    <w:lvl w:ilvl="0" w:tplc="EF1CAB8A">
      <w:numFmt w:val="bullet"/>
      <w:lvlText w:val="-"/>
      <w:lvlJc w:val="left"/>
      <w:pPr>
        <w:ind w:left="720" w:hanging="360"/>
      </w:pPr>
      <w:rPr>
        <w:rFonts w:ascii="Palatino Linotype" w:eastAsia="Times New Roman" w:hAnsi="Palatino Linotype" w:cs="Times New Roman" w:hint="default"/>
      </w:rPr>
    </w:lvl>
    <w:lvl w:ilvl="1" w:tplc="25FA607C">
      <w:numFmt w:val="bullet"/>
      <w:lvlText w:val="·"/>
      <w:lvlJc w:val="left"/>
      <w:pPr>
        <w:ind w:left="1440" w:hanging="360"/>
      </w:pPr>
      <w:rPr>
        <w:rFonts w:ascii="Palatino Linotype" w:eastAsia="Times New Roman" w:hAnsi="Palatino Linotype" w:cs="Helvetic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33383E"/>
    <w:multiLevelType w:val="hybridMultilevel"/>
    <w:tmpl w:val="ADB8FD98"/>
    <w:lvl w:ilvl="0" w:tplc="AD8C8AA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E520FF"/>
    <w:multiLevelType w:val="hybridMultilevel"/>
    <w:tmpl w:val="37BEE5BA"/>
    <w:lvl w:ilvl="0" w:tplc="EF1CAB8A">
      <w:numFmt w:val="bullet"/>
      <w:lvlText w:val="-"/>
      <w:lvlJc w:val="left"/>
      <w:pPr>
        <w:ind w:left="720" w:hanging="360"/>
      </w:pPr>
      <w:rPr>
        <w:rFonts w:ascii="Palatino Linotype" w:eastAsia="Times New Roman" w:hAnsi="Palatino Linotyp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2E0FB4"/>
    <w:multiLevelType w:val="hybridMultilevel"/>
    <w:tmpl w:val="8AB48F46"/>
    <w:lvl w:ilvl="0" w:tplc="FFFFFFFF">
      <w:start w:val="1"/>
      <w:numFmt w:val="bullet"/>
      <w:lvlText w:val=""/>
      <w:lvlJc w:val="left"/>
      <w:pPr>
        <w:tabs>
          <w:tab w:val="num" w:pos="780"/>
        </w:tabs>
        <w:ind w:left="780" w:hanging="360"/>
      </w:pPr>
      <w:rPr>
        <w:rFonts w:ascii="Wingdings" w:hAnsi="Wingdings" w:hint="default"/>
      </w:rPr>
    </w:lvl>
    <w:lvl w:ilvl="1" w:tplc="8CDA24F2">
      <w:start w:val="1"/>
      <w:numFmt w:val="bullet"/>
      <w:lvlText w:val=""/>
      <w:lvlJc w:val="left"/>
      <w:pPr>
        <w:ind w:left="1080" w:hanging="360"/>
      </w:pPr>
      <w:rPr>
        <w:rFonts w:ascii="Symbol" w:hAnsi="Symbol" w:hint="default"/>
      </w:rPr>
    </w:lvl>
    <w:lvl w:ilvl="2" w:tplc="FFFFFFFF">
      <w:numFmt w:val="bullet"/>
      <w:lvlText w:val="-"/>
      <w:lvlJc w:val="left"/>
      <w:pPr>
        <w:tabs>
          <w:tab w:val="num" w:pos="2220"/>
        </w:tabs>
        <w:ind w:left="2220" w:hanging="360"/>
      </w:pPr>
      <w:rPr>
        <w:rFonts w:ascii="Palatino Linotype" w:eastAsia="Times New Roman" w:hAnsi="Palatino Linotype" w:cs="Times New Roman"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6311402"/>
    <w:multiLevelType w:val="hybridMultilevel"/>
    <w:tmpl w:val="000AC98E"/>
    <w:lvl w:ilvl="0" w:tplc="10090001">
      <w:start w:val="1"/>
      <w:numFmt w:val="bullet"/>
      <w:lvlText w:val=""/>
      <w:lvlJc w:val="left"/>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3" w15:restartNumberingAfterBreak="0">
    <w:nsid w:val="4A3108F4"/>
    <w:multiLevelType w:val="hybridMultilevel"/>
    <w:tmpl w:val="8BE098E0"/>
    <w:lvl w:ilvl="0" w:tplc="8CDA24F2">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4" w15:restartNumberingAfterBreak="0">
    <w:nsid w:val="4B291B55"/>
    <w:multiLevelType w:val="hybridMultilevel"/>
    <w:tmpl w:val="8C3C3A2A"/>
    <w:lvl w:ilvl="0" w:tplc="8CDA24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901B7E"/>
    <w:multiLevelType w:val="hybridMultilevel"/>
    <w:tmpl w:val="0BD6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271D1"/>
    <w:multiLevelType w:val="hybridMultilevel"/>
    <w:tmpl w:val="CDAA8D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270F69"/>
    <w:multiLevelType w:val="hybridMultilevel"/>
    <w:tmpl w:val="AF56F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18B31A7"/>
    <w:multiLevelType w:val="hybridMultilevel"/>
    <w:tmpl w:val="58447BF6"/>
    <w:lvl w:ilvl="0" w:tplc="10090017">
      <w:start w:val="1"/>
      <w:numFmt w:val="lowerLetter"/>
      <w:lvlText w:val="%1)"/>
      <w:lvlJc w:val="left"/>
      <w:pPr>
        <w:ind w:left="741" w:hanging="360"/>
      </w:pPr>
      <w:rPr>
        <w:rFonts w:hint="default"/>
      </w:rPr>
    </w:lvl>
    <w:lvl w:ilvl="1" w:tplc="10090019" w:tentative="1">
      <w:start w:val="1"/>
      <w:numFmt w:val="lowerLetter"/>
      <w:lvlText w:val="%2."/>
      <w:lvlJc w:val="left"/>
      <w:pPr>
        <w:ind w:left="1461" w:hanging="360"/>
      </w:pPr>
    </w:lvl>
    <w:lvl w:ilvl="2" w:tplc="1009001B" w:tentative="1">
      <w:start w:val="1"/>
      <w:numFmt w:val="lowerRoman"/>
      <w:lvlText w:val="%3."/>
      <w:lvlJc w:val="right"/>
      <w:pPr>
        <w:ind w:left="2181" w:hanging="180"/>
      </w:pPr>
    </w:lvl>
    <w:lvl w:ilvl="3" w:tplc="1009000F" w:tentative="1">
      <w:start w:val="1"/>
      <w:numFmt w:val="decimal"/>
      <w:lvlText w:val="%4."/>
      <w:lvlJc w:val="left"/>
      <w:pPr>
        <w:ind w:left="2901" w:hanging="360"/>
      </w:pPr>
    </w:lvl>
    <w:lvl w:ilvl="4" w:tplc="10090019" w:tentative="1">
      <w:start w:val="1"/>
      <w:numFmt w:val="lowerLetter"/>
      <w:lvlText w:val="%5."/>
      <w:lvlJc w:val="left"/>
      <w:pPr>
        <w:ind w:left="3621" w:hanging="360"/>
      </w:pPr>
    </w:lvl>
    <w:lvl w:ilvl="5" w:tplc="1009001B" w:tentative="1">
      <w:start w:val="1"/>
      <w:numFmt w:val="lowerRoman"/>
      <w:lvlText w:val="%6."/>
      <w:lvlJc w:val="right"/>
      <w:pPr>
        <w:ind w:left="4341" w:hanging="180"/>
      </w:pPr>
    </w:lvl>
    <w:lvl w:ilvl="6" w:tplc="1009000F" w:tentative="1">
      <w:start w:val="1"/>
      <w:numFmt w:val="decimal"/>
      <w:lvlText w:val="%7."/>
      <w:lvlJc w:val="left"/>
      <w:pPr>
        <w:ind w:left="5061" w:hanging="360"/>
      </w:pPr>
    </w:lvl>
    <w:lvl w:ilvl="7" w:tplc="10090019" w:tentative="1">
      <w:start w:val="1"/>
      <w:numFmt w:val="lowerLetter"/>
      <w:lvlText w:val="%8."/>
      <w:lvlJc w:val="left"/>
      <w:pPr>
        <w:ind w:left="5781" w:hanging="360"/>
      </w:pPr>
    </w:lvl>
    <w:lvl w:ilvl="8" w:tplc="1009001B" w:tentative="1">
      <w:start w:val="1"/>
      <w:numFmt w:val="lowerRoman"/>
      <w:lvlText w:val="%9."/>
      <w:lvlJc w:val="right"/>
      <w:pPr>
        <w:ind w:left="6501" w:hanging="180"/>
      </w:pPr>
    </w:lvl>
  </w:abstractNum>
  <w:abstractNum w:abstractNumId="19" w15:restartNumberingAfterBreak="0">
    <w:nsid w:val="75CA055E"/>
    <w:multiLevelType w:val="multilevel"/>
    <w:tmpl w:val="85A80F48"/>
    <w:lvl w:ilvl="0">
      <w:start w:val="1"/>
      <w:numFmt w:val="bullet"/>
      <w:lvlText w:val=""/>
      <w:lvlJc w:val="left"/>
      <w:pPr>
        <w:tabs>
          <w:tab w:val="num" w:pos="792"/>
        </w:tabs>
        <w:ind w:left="792" w:hanging="360"/>
      </w:pPr>
      <w:rPr>
        <w:rFonts w:ascii="Symbol" w:hAnsi="Symbol" w:hint="default"/>
        <w:sz w:val="20"/>
      </w:rPr>
    </w:lvl>
    <w:lvl w:ilvl="1" w:tentative="1">
      <w:start w:val="1"/>
      <w:numFmt w:val="bullet"/>
      <w:lvlText w:val=""/>
      <w:lvlJc w:val="left"/>
      <w:pPr>
        <w:tabs>
          <w:tab w:val="num" w:pos="1512"/>
        </w:tabs>
        <w:ind w:left="1512" w:hanging="360"/>
      </w:pPr>
      <w:rPr>
        <w:rFonts w:ascii="Symbol" w:hAnsi="Symbol" w:hint="default"/>
        <w:sz w:val="20"/>
      </w:rPr>
    </w:lvl>
    <w:lvl w:ilvl="2" w:tentative="1">
      <w:start w:val="1"/>
      <w:numFmt w:val="bullet"/>
      <w:lvlText w:val=""/>
      <w:lvlJc w:val="left"/>
      <w:pPr>
        <w:tabs>
          <w:tab w:val="num" w:pos="2232"/>
        </w:tabs>
        <w:ind w:left="2232" w:hanging="360"/>
      </w:pPr>
      <w:rPr>
        <w:rFonts w:ascii="Symbol" w:hAnsi="Symbol" w:hint="default"/>
        <w:sz w:val="20"/>
      </w:rPr>
    </w:lvl>
    <w:lvl w:ilvl="3" w:tentative="1">
      <w:start w:val="1"/>
      <w:numFmt w:val="bullet"/>
      <w:lvlText w:val=""/>
      <w:lvlJc w:val="left"/>
      <w:pPr>
        <w:tabs>
          <w:tab w:val="num" w:pos="2952"/>
        </w:tabs>
        <w:ind w:left="2952" w:hanging="360"/>
      </w:pPr>
      <w:rPr>
        <w:rFonts w:ascii="Symbol" w:hAnsi="Symbol" w:hint="default"/>
        <w:sz w:val="20"/>
      </w:rPr>
    </w:lvl>
    <w:lvl w:ilvl="4" w:tentative="1">
      <w:start w:val="1"/>
      <w:numFmt w:val="bullet"/>
      <w:lvlText w:val=""/>
      <w:lvlJc w:val="left"/>
      <w:pPr>
        <w:tabs>
          <w:tab w:val="num" w:pos="3672"/>
        </w:tabs>
        <w:ind w:left="3672" w:hanging="360"/>
      </w:pPr>
      <w:rPr>
        <w:rFonts w:ascii="Symbol" w:hAnsi="Symbol" w:hint="default"/>
        <w:sz w:val="20"/>
      </w:rPr>
    </w:lvl>
    <w:lvl w:ilvl="5" w:tentative="1">
      <w:start w:val="1"/>
      <w:numFmt w:val="bullet"/>
      <w:lvlText w:val=""/>
      <w:lvlJc w:val="left"/>
      <w:pPr>
        <w:tabs>
          <w:tab w:val="num" w:pos="4392"/>
        </w:tabs>
        <w:ind w:left="4392" w:hanging="360"/>
      </w:pPr>
      <w:rPr>
        <w:rFonts w:ascii="Symbol" w:hAnsi="Symbol" w:hint="default"/>
        <w:sz w:val="20"/>
      </w:rPr>
    </w:lvl>
    <w:lvl w:ilvl="6" w:tentative="1">
      <w:start w:val="1"/>
      <w:numFmt w:val="bullet"/>
      <w:lvlText w:val=""/>
      <w:lvlJc w:val="left"/>
      <w:pPr>
        <w:tabs>
          <w:tab w:val="num" w:pos="5112"/>
        </w:tabs>
        <w:ind w:left="5112" w:hanging="360"/>
      </w:pPr>
      <w:rPr>
        <w:rFonts w:ascii="Symbol" w:hAnsi="Symbol" w:hint="default"/>
        <w:sz w:val="20"/>
      </w:rPr>
    </w:lvl>
    <w:lvl w:ilvl="7" w:tentative="1">
      <w:start w:val="1"/>
      <w:numFmt w:val="bullet"/>
      <w:lvlText w:val=""/>
      <w:lvlJc w:val="left"/>
      <w:pPr>
        <w:tabs>
          <w:tab w:val="num" w:pos="5832"/>
        </w:tabs>
        <w:ind w:left="5832" w:hanging="360"/>
      </w:pPr>
      <w:rPr>
        <w:rFonts w:ascii="Symbol" w:hAnsi="Symbol" w:hint="default"/>
        <w:sz w:val="20"/>
      </w:rPr>
    </w:lvl>
    <w:lvl w:ilvl="8" w:tentative="1">
      <w:start w:val="1"/>
      <w:numFmt w:val="bullet"/>
      <w:lvlText w:val=""/>
      <w:lvlJc w:val="left"/>
      <w:pPr>
        <w:tabs>
          <w:tab w:val="num" w:pos="6552"/>
        </w:tabs>
        <w:ind w:left="6552" w:hanging="360"/>
      </w:pPr>
      <w:rPr>
        <w:rFonts w:ascii="Symbol" w:hAnsi="Symbol" w:hint="default"/>
        <w:sz w:val="20"/>
      </w:rPr>
    </w:lvl>
  </w:abstractNum>
  <w:abstractNum w:abstractNumId="20" w15:restartNumberingAfterBreak="0">
    <w:nsid w:val="77455D6A"/>
    <w:multiLevelType w:val="hybridMultilevel"/>
    <w:tmpl w:val="173C9E7C"/>
    <w:lvl w:ilvl="0" w:tplc="8CDA24F2">
      <w:start w:val="1"/>
      <w:numFmt w:val="bullet"/>
      <w:lvlText w:val=""/>
      <w:lvlJc w:val="left"/>
      <w:pPr>
        <w:ind w:left="792"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1" w15:restartNumberingAfterBreak="0">
    <w:nsid w:val="78826002"/>
    <w:multiLevelType w:val="hybridMultilevel"/>
    <w:tmpl w:val="E01C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A6372"/>
    <w:multiLevelType w:val="hybridMultilevel"/>
    <w:tmpl w:val="8C90EB8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4118224">
    <w:abstractNumId w:val="18"/>
  </w:num>
  <w:num w:numId="2" w16cid:durableId="98912526">
    <w:abstractNumId w:val="21"/>
  </w:num>
  <w:num w:numId="3" w16cid:durableId="1709643667">
    <w:abstractNumId w:val="3"/>
  </w:num>
  <w:num w:numId="4" w16cid:durableId="137234868">
    <w:abstractNumId w:val="15"/>
  </w:num>
  <w:num w:numId="5" w16cid:durableId="2065327656">
    <w:abstractNumId w:val="8"/>
  </w:num>
  <w:num w:numId="6" w16cid:durableId="1550149744">
    <w:abstractNumId w:val="22"/>
  </w:num>
  <w:num w:numId="7" w16cid:durableId="1432312498">
    <w:abstractNumId w:val="20"/>
  </w:num>
  <w:num w:numId="8" w16cid:durableId="486015147">
    <w:abstractNumId w:val="19"/>
  </w:num>
  <w:num w:numId="9" w16cid:durableId="1152215825">
    <w:abstractNumId w:val="6"/>
  </w:num>
  <w:num w:numId="10" w16cid:durableId="947157503">
    <w:abstractNumId w:val="9"/>
  </w:num>
  <w:num w:numId="11" w16cid:durableId="154808185">
    <w:abstractNumId w:val="0"/>
  </w:num>
  <w:num w:numId="12" w16cid:durableId="1836917103">
    <w:abstractNumId w:val="2"/>
  </w:num>
  <w:num w:numId="13" w16cid:durableId="1560360553">
    <w:abstractNumId w:val="16"/>
  </w:num>
  <w:num w:numId="14" w16cid:durableId="420376340">
    <w:abstractNumId w:val="17"/>
  </w:num>
  <w:num w:numId="15" w16cid:durableId="503085331">
    <w:abstractNumId w:val="7"/>
  </w:num>
  <w:num w:numId="16" w16cid:durableId="515072303">
    <w:abstractNumId w:val="12"/>
  </w:num>
  <w:num w:numId="17" w16cid:durableId="113210313">
    <w:abstractNumId w:val="10"/>
  </w:num>
  <w:num w:numId="18" w16cid:durableId="903415338">
    <w:abstractNumId w:val="11"/>
  </w:num>
  <w:num w:numId="19" w16cid:durableId="590311936">
    <w:abstractNumId w:val="13"/>
  </w:num>
  <w:num w:numId="20" w16cid:durableId="862403089">
    <w:abstractNumId w:val="14"/>
  </w:num>
  <w:num w:numId="21" w16cid:durableId="1604150038">
    <w:abstractNumId w:val="5"/>
  </w:num>
  <w:num w:numId="22" w16cid:durableId="365953482">
    <w:abstractNumId w:val="1"/>
  </w:num>
  <w:num w:numId="23" w16cid:durableId="422919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10"/>
    <w:rsid w:val="002F3788"/>
    <w:rsid w:val="006A129F"/>
    <w:rsid w:val="00797010"/>
    <w:rsid w:val="009222CB"/>
    <w:rsid w:val="00A36CA2"/>
    <w:rsid w:val="00B17514"/>
    <w:rsid w:val="00E129ED"/>
    <w:rsid w:val="00FB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EF08"/>
  <w15:chartTrackingRefBased/>
  <w15:docId w15:val="{5B2EA7A3-3BED-4DED-BD40-719C8813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10"/>
    <w:rPr>
      <w:kern w:val="0"/>
      <w:lang w:val="en-CA"/>
      <w14:ligatures w14:val="none"/>
    </w:rPr>
  </w:style>
  <w:style w:type="paragraph" w:styleId="Heading1">
    <w:name w:val="heading 1"/>
    <w:basedOn w:val="Heading2"/>
    <w:next w:val="Normal"/>
    <w:link w:val="Heading1Char"/>
    <w:uiPriority w:val="9"/>
    <w:qFormat/>
    <w:rsid w:val="00797010"/>
    <w:pPr>
      <w:keepNext w:val="0"/>
      <w:keepLines w:val="0"/>
      <w:spacing w:before="0" w:after="120" w:line="240" w:lineRule="auto"/>
      <w:outlineLvl w:val="0"/>
    </w:pPr>
    <w:rPr>
      <w:rFonts w:ascii="Century Gothic" w:eastAsia="Times New Roman" w:hAnsi="Century Gothic" w:cs="Times New Roman"/>
      <w:b/>
      <w:color w:val="auto"/>
      <w:sz w:val="28"/>
      <w:szCs w:val="28"/>
      <w:lang w:val="en-US"/>
    </w:rPr>
  </w:style>
  <w:style w:type="paragraph" w:styleId="Heading2">
    <w:name w:val="heading 2"/>
    <w:basedOn w:val="Normal"/>
    <w:next w:val="Normal"/>
    <w:link w:val="Heading2Char"/>
    <w:uiPriority w:val="9"/>
    <w:unhideWhenUsed/>
    <w:qFormat/>
    <w:rsid w:val="00797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10"/>
    <w:rPr>
      <w:rFonts w:ascii="Century Gothic" w:eastAsia="Times New Roman" w:hAnsi="Century Gothic" w:cs="Times New Roman"/>
      <w:b/>
      <w:kern w:val="0"/>
      <w:sz w:val="28"/>
      <w:szCs w:val="28"/>
      <w14:ligatures w14:val="none"/>
    </w:rPr>
  </w:style>
  <w:style w:type="character" w:customStyle="1" w:styleId="Heading2Char">
    <w:name w:val="Heading 2 Char"/>
    <w:basedOn w:val="DefaultParagraphFont"/>
    <w:link w:val="Heading2"/>
    <w:uiPriority w:val="9"/>
    <w:rsid w:val="00797010"/>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uiPriority w:val="9"/>
    <w:semiHidden/>
    <w:rsid w:val="00797010"/>
    <w:rPr>
      <w:rFonts w:asciiTheme="majorHAnsi" w:eastAsiaTheme="majorEastAsia" w:hAnsiTheme="majorHAnsi" w:cstheme="majorBidi"/>
      <w:color w:val="1F3763" w:themeColor="accent1" w:themeShade="7F"/>
      <w:kern w:val="0"/>
      <w:sz w:val="24"/>
      <w:szCs w:val="24"/>
      <w:lang w:val="en-CA"/>
      <w14:ligatures w14:val="none"/>
    </w:rPr>
  </w:style>
  <w:style w:type="character" w:styleId="CommentReference">
    <w:name w:val="annotation reference"/>
    <w:basedOn w:val="DefaultParagraphFont"/>
    <w:uiPriority w:val="99"/>
    <w:semiHidden/>
    <w:unhideWhenUsed/>
    <w:rsid w:val="00797010"/>
    <w:rPr>
      <w:sz w:val="16"/>
    </w:rPr>
  </w:style>
  <w:style w:type="paragraph" w:styleId="CommentText">
    <w:name w:val="annotation text"/>
    <w:basedOn w:val="Normal"/>
    <w:link w:val="CommentTextChar"/>
    <w:uiPriority w:val="99"/>
    <w:unhideWhenUsed/>
    <w:rsid w:val="00797010"/>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797010"/>
    <w:rPr>
      <w:rFonts w:ascii="Calibri" w:eastAsia="Times New Roman" w:hAnsi="Calibri" w:cs="Times New Roman"/>
      <w:kern w:val="0"/>
      <w:sz w:val="20"/>
      <w:szCs w:val="20"/>
      <w14:ligatures w14:val="none"/>
    </w:rPr>
  </w:style>
  <w:style w:type="paragraph" w:styleId="ListParagraph">
    <w:name w:val="List Paragraph"/>
    <w:basedOn w:val="Normal"/>
    <w:uiPriority w:val="34"/>
    <w:qFormat/>
    <w:rsid w:val="00797010"/>
    <w:pPr>
      <w:ind w:left="720"/>
      <w:contextualSpacing/>
    </w:pPr>
  </w:style>
  <w:style w:type="character" w:styleId="Hyperlink">
    <w:name w:val="Hyperlink"/>
    <w:basedOn w:val="DefaultParagraphFont"/>
    <w:uiPriority w:val="99"/>
    <w:unhideWhenUsed/>
    <w:rsid w:val="00797010"/>
    <w:rPr>
      <w:color w:val="0563C1" w:themeColor="hyperlink"/>
      <w:u w:val="single"/>
    </w:rPr>
  </w:style>
  <w:style w:type="character" w:styleId="FootnoteReference">
    <w:name w:val="footnote reference"/>
    <w:basedOn w:val="DefaultParagraphFont"/>
    <w:uiPriority w:val="99"/>
    <w:unhideWhenUsed/>
    <w:rsid w:val="00797010"/>
    <w:rPr>
      <w:vertAlign w:val="superscript"/>
    </w:rPr>
  </w:style>
  <w:style w:type="paragraph" w:styleId="FootnoteText">
    <w:name w:val="footnote text"/>
    <w:basedOn w:val="Normal"/>
    <w:link w:val="FootnoteTextChar"/>
    <w:uiPriority w:val="99"/>
    <w:semiHidden/>
    <w:unhideWhenUsed/>
    <w:rsid w:val="00797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010"/>
    <w:rPr>
      <w:kern w:val="0"/>
      <w:sz w:val="20"/>
      <w:szCs w:val="20"/>
      <w:lang w:val="en-CA"/>
      <w14:ligatures w14:val="none"/>
    </w:rPr>
  </w:style>
  <w:style w:type="character" w:customStyle="1" w:styleId="cf01">
    <w:name w:val="cf01"/>
    <w:basedOn w:val="DefaultParagraphFont"/>
    <w:rsid w:val="00797010"/>
    <w:rPr>
      <w:rFonts w:ascii="Segoe UI" w:hAnsi="Segoe UI" w:cs="Segoe UI" w:hint="default"/>
      <w:sz w:val="18"/>
      <w:szCs w:val="18"/>
    </w:rPr>
  </w:style>
  <w:style w:type="character" w:styleId="FollowedHyperlink">
    <w:name w:val="FollowedHyperlink"/>
    <w:basedOn w:val="DefaultParagraphFont"/>
    <w:uiPriority w:val="99"/>
    <w:semiHidden/>
    <w:unhideWhenUsed/>
    <w:rsid w:val="00797010"/>
    <w:rPr>
      <w:color w:val="954F72" w:themeColor="followedHyperlink"/>
      <w:u w:val="single"/>
    </w:rPr>
  </w:style>
  <w:style w:type="table" w:styleId="TableGrid">
    <w:name w:val="Table Grid"/>
    <w:basedOn w:val="TableNormal"/>
    <w:uiPriority w:val="39"/>
    <w:rsid w:val="00B17514"/>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labour.gov.on.ca/english/hs/pdf/harassment.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hrlsc.on.ca/en/welcome" TargetMode="External"/><Relationship Id="rId3" Type="http://schemas.openxmlformats.org/officeDocument/2006/relationships/customXml" Target="../customXml/item3.xml"/><Relationship Id="rId21" Type="http://schemas.openxmlformats.org/officeDocument/2006/relationships/hyperlink" Target="https://www.ontariomidwives.ca/legal-expense-insurance"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canada.ca/en/government/publicservice/wellness-inclusion-diversity-public-service/harassment-violence/harassment-tool-employees.html" TargetMode="External"/><Relationship Id="rId2" Type="http://schemas.openxmlformats.org/officeDocument/2006/relationships/customXml" Target="../customXml/item2.xml"/><Relationship Id="rId16" Type="http://schemas.openxmlformats.org/officeDocument/2006/relationships/hyperlink" Target="https://www.ontariomidwives.ca/diversity-equity-inclusion-position-statement" TargetMode="External"/><Relationship Id="rId20" Type="http://schemas.openxmlformats.org/officeDocument/2006/relationships/hyperlink" Target="mailto:heqhr@aom.o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ntariomidwives.ca/racial-justice-position-statemen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ontariomidwives.ca/on-c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midwives.ca/system/files/QRM%20resources/Protocols/2019%20revision%20Anti_Harassment_Anti_Violence_Policy_-_AOM%20TEMPLATE.docx" TargetMode="External"/><Relationship Id="rId22" Type="http://schemas.openxmlformats.org/officeDocument/2006/relationships/hyperlink" Target="https://midwivesbenefits.ca/what-we-offer/health-and-dental-benefits/mfa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ubinthomlinson.com/put-on-your-lens-the-importance-of-having-a-critical-race-theory-crt-lens-when-conducting-a-race-based-workplace-investigation/" TargetMode="External"/><Relationship Id="rId3" Type="http://schemas.openxmlformats.org/officeDocument/2006/relationships/hyperlink" Target="https://www.ontario.ca/page/understand-law-workplace-violence-and-harassment" TargetMode="External"/><Relationship Id="rId7" Type="http://schemas.openxmlformats.org/officeDocument/2006/relationships/hyperlink" Target="https://www.ontario.ca/page/workplace-harassment-investigation-employer" TargetMode="External"/><Relationship Id="rId2" Type="http://schemas.openxmlformats.org/officeDocument/2006/relationships/hyperlink" Target="https://www.canada.ca/en/treasury-board-secretariat/services/healthy-workplace/prevention-resolution-harassment/harassment-tool-employees.html" TargetMode="External"/><Relationship Id="rId1" Type="http://schemas.openxmlformats.org/officeDocument/2006/relationships/hyperlink" Target="https://www.ohrc.on.ca/en/racial-harassment-know-your-rights-brochure" TargetMode="External"/><Relationship Id="rId6" Type="http://schemas.openxmlformats.org/officeDocument/2006/relationships/hyperlink" Target="https://www.ohrc.on.ca/en/examples-racial-discrimination-fact-sheet" TargetMode="External"/><Relationship Id="rId5" Type="http://schemas.openxmlformats.org/officeDocument/2006/relationships/hyperlink" Target="https://www.toronto.ca/wp-content/uploads/2017/10/8f52-Racial-Discrimination-Harassment.pdf" TargetMode="External"/><Relationship Id="rId4" Type="http://schemas.openxmlformats.org/officeDocument/2006/relationships/hyperlink" Target="https://www.canada.ca/en/treasury-board-secretariat/services/healthy-workplace/prevention-resolution-harassment/preventing-resolving-harassment-workplace-guide-manageers.html" TargetMode="External"/><Relationship Id="rId9" Type="http://schemas.openxmlformats.org/officeDocument/2006/relationships/hyperlink" Target="mailto:HEQHR@aom.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f410c-9fb0-4d75-9cfd-d83e08e5b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24635C244444B82A4D3B92BB7A5B2" ma:contentTypeVersion="14" ma:contentTypeDescription="Create a new document." ma:contentTypeScope="" ma:versionID="95a3d5bc08b1e16ee74dec64714a47c8">
  <xsd:schema xmlns:xsd="http://www.w3.org/2001/XMLSchema" xmlns:xs="http://www.w3.org/2001/XMLSchema" xmlns:p="http://schemas.microsoft.com/office/2006/metadata/properties" xmlns:ns3="619f410c-9fb0-4d75-9cfd-d83e08e5beb9" xmlns:ns4="54b28c2f-b948-4f64-b7c6-a6130838bc74" targetNamespace="http://schemas.microsoft.com/office/2006/metadata/properties" ma:root="true" ma:fieldsID="aee88a109114b6cabec59e9843e518db" ns3:_="" ns4:_="">
    <xsd:import namespace="619f410c-9fb0-4d75-9cfd-d83e08e5beb9"/>
    <xsd:import namespace="54b28c2f-b948-4f64-b7c6-a6130838bc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f410c-9fb0-4d75-9cfd-d83e08e5b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28c2f-b948-4f64-b7c6-a6130838bc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B6FAF-BF8A-443D-B7EE-6E1D1362687F}">
  <ds:schemaRefs>
    <ds:schemaRef ds:uri="http://schemas.microsoft.com/office/2006/documentManagement/types"/>
    <ds:schemaRef ds:uri="http://purl.org/dc/terms/"/>
    <ds:schemaRef ds:uri="54b28c2f-b948-4f64-b7c6-a6130838bc74"/>
    <ds:schemaRef ds:uri="http://www.w3.org/XML/1998/namespace"/>
    <ds:schemaRef ds:uri="http://schemas.microsoft.com/office/infopath/2007/PartnerControls"/>
    <ds:schemaRef ds:uri="http://purl.org/dc/elements/1.1/"/>
    <ds:schemaRef ds:uri="http://schemas.openxmlformats.org/package/2006/metadata/core-properties"/>
    <ds:schemaRef ds:uri="619f410c-9fb0-4d75-9cfd-d83e08e5be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A5850BA-895A-459A-BF55-8952BDBBF02A}">
  <ds:schemaRefs>
    <ds:schemaRef ds:uri="http://schemas.microsoft.com/sharepoint/v3/contenttype/forms"/>
  </ds:schemaRefs>
</ds:datastoreItem>
</file>

<file path=customXml/itemProps3.xml><?xml version="1.0" encoding="utf-8"?>
<ds:datastoreItem xmlns:ds="http://schemas.openxmlformats.org/officeDocument/2006/customXml" ds:itemID="{B3D0F9F1-318C-4B18-9980-ADDC1BB2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f410c-9fb0-4d75-9cfd-d83e08e5beb9"/>
    <ds:schemaRef ds:uri="54b28c2f-b948-4f64-b7c6-a6130838b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Feben Aseffa</dc:creator>
  <cp:keywords/>
  <dc:description/>
  <cp:lastModifiedBy>Mahdia Abidi</cp:lastModifiedBy>
  <cp:revision>3</cp:revision>
  <dcterms:created xsi:type="dcterms:W3CDTF">2023-03-24T19:01:00Z</dcterms:created>
  <dcterms:modified xsi:type="dcterms:W3CDTF">2023-06-29T17:26:00Z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0x010100EF124635C244444B82A4D3B92BB7A5B2</vt:lpwstr>
  </property>
</Properties>
</file>